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98" w:rsidRDefault="00B42198" w:rsidP="00E025B0">
      <w:bookmarkStart w:id="0" w:name="_GoBack"/>
      <w:bookmarkEnd w:id="0"/>
    </w:p>
    <w:tbl>
      <w:tblPr>
        <w:tblStyle w:val="TableGrid"/>
        <w:tblW w:w="9456" w:type="dxa"/>
        <w:tblInd w:w="-5" w:type="dxa"/>
        <w:tblLook w:val="04A0" w:firstRow="1" w:lastRow="0" w:firstColumn="1" w:lastColumn="0" w:noHBand="0" w:noVBand="1"/>
      </w:tblPr>
      <w:tblGrid>
        <w:gridCol w:w="1717"/>
        <w:gridCol w:w="5354"/>
        <w:gridCol w:w="1128"/>
        <w:gridCol w:w="1257"/>
      </w:tblGrid>
      <w:tr w:rsidR="00E025B0" w:rsidRPr="009265D7" w:rsidTr="00BA1424">
        <w:trPr>
          <w:trHeight w:val="234"/>
        </w:trPr>
        <w:tc>
          <w:tcPr>
            <w:tcW w:w="9456" w:type="dxa"/>
            <w:gridSpan w:val="4"/>
            <w:shd w:val="clear" w:color="auto" w:fill="ACB9CA" w:themeFill="text2" w:themeFillTint="66"/>
          </w:tcPr>
          <w:p w:rsidR="00E025B0" w:rsidRPr="009265D7" w:rsidRDefault="00E025B0" w:rsidP="00BA1424">
            <w:pPr>
              <w:pStyle w:val="ListParagraph"/>
              <w:tabs>
                <w:tab w:val="left" w:pos="900"/>
              </w:tabs>
              <w:ind w:left="0"/>
              <w:jc w:val="center"/>
              <w:rPr>
                <w:rFonts w:asciiTheme="minorHAnsi" w:hAnsiTheme="minorHAnsi"/>
                <w:sz w:val="22"/>
                <w:szCs w:val="22"/>
              </w:rPr>
            </w:pPr>
            <w:r w:rsidRPr="009265D7">
              <w:rPr>
                <w:rFonts w:asciiTheme="minorHAnsi" w:hAnsiTheme="minorHAnsi"/>
                <w:sz w:val="22"/>
                <w:szCs w:val="22"/>
              </w:rPr>
              <w:t xml:space="preserve">FSSL Programme outline </w:t>
            </w:r>
          </w:p>
        </w:tc>
      </w:tr>
      <w:tr w:rsidR="00E025B0" w:rsidRPr="009265D7" w:rsidTr="009265D7">
        <w:trPr>
          <w:trHeight w:val="234"/>
        </w:trPr>
        <w:tc>
          <w:tcPr>
            <w:tcW w:w="1717" w:type="dxa"/>
            <w:shd w:val="clear" w:color="auto" w:fill="ACB9CA" w:themeFill="text2" w:themeFillTint="66"/>
          </w:tcPr>
          <w:p w:rsidR="00E025B0" w:rsidRPr="009265D7" w:rsidRDefault="00E025B0" w:rsidP="009265D7">
            <w:pPr>
              <w:pStyle w:val="ListParagraph"/>
              <w:tabs>
                <w:tab w:val="left" w:pos="900"/>
              </w:tabs>
              <w:ind w:left="0"/>
              <w:jc w:val="center"/>
              <w:rPr>
                <w:rFonts w:asciiTheme="minorHAnsi" w:hAnsiTheme="minorHAnsi"/>
                <w:sz w:val="22"/>
                <w:szCs w:val="22"/>
              </w:rPr>
            </w:pPr>
            <w:r w:rsidRPr="009265D7">
              <w:rPr>
                <w:rFonts w:asciiTheme="minorHAnsi" w:hAnsiTheme="minorHAnsi"/>
                <w:sz w:val="22"/>
                <w:szCs w:val="22"/>
              </w:rPr>
              <w:t>Timeline</w:t>
            </w:r>
          </w:p>
        </w:tc>
        <w:tc>
          <w:tcPr>
            <w:tcW w:w="5354" w:type="dxa"/>
            <w:shd w:val="clear" w:color="auto" w:fill="ACB9CA" w:themeFill="text2" w:themeFillTint="66"/>
          </w:tcPr>
          <w:p w:rsidR="00E025B0" w:rsidRPr="009265D7" w:rsidRDefault="00E025B0" w:rsidP="009265D7">
            <w:pPr>
              <w:pStyle w:val="ListParagraph"/>
              <w:tabs>
                <w:tab w:val="left" w:pos="900"/>
              </w:tabs>
              <w:ind w:left="0"/>
              <w:jc w:val="center"/>
              <w:rPr>
                <w:rFonts w:asciiTheme="minorHAnsi" w:hAnsiTheme="minorHAnsi"/>
                <w:sz w:val="22"/>
                <w:szCs w:val="22"/>
              </w:rPr>
            </w:pPr>
            <w:r w:rsidRPr="009265D7">
              <w:rPr>
                <w:rFonts w:asciiTheme="minorHAnsi" w:hAnsiTheme="minorHAnsi"/>
                <w:sz w:val="22"/>
                <w:szCs w:val="22"/>
              </w:rPr>
              <w:t>Content</w:t>
            </w:r>
          </w:p>
        </w:tc>
        <w:tc>
          <w:tcPr>
            <w:tcW w:w="1128" w:type="dxa"/>
            <w:shd w:val="clear" w:color="auto" w:fill="ACB9CA" w:themeFill="text2" w:themeFillTint="66"/>
          </w:tcPr>
          <w:p w:rsidR="00E025B0" w:rsidRPr="009265D7" w:rsidRDefault="00E025B0" w:rsidP="009265D7">
            <w:pPr>
              <w:pStyle w:val="ListParagraph"/>
              <w:tabs>
                <w:tab w:val="left" w:pos="900"/>
              </w:tabs>
              <w:ind w:left="0"/>
              <w:jc w:val="center"/>
              <w:rPr>
                <w:rFonts w:asciiTheme="minorHAnsi" w:hAnsiTheme="minorHAnsi"/>
                <w:sz w:val="22"/>
                <w:szCs w:val="22"/>
              </w:rPr>
            </w:pPr>
            <w:r w:rsidRPr="009265D7">
              <w:rPr>
                <w:rFonts w:asciiTheme="minorHAnsi" w:hAnsiTheme="minorHAnsi"/>
                <w:sz w:val="22"/>
                <w:szCs w:val="22"/>
              </w:rPr>
              <w:t>No of days</w:t>
            </w:r>
          </w:p>
        </w:tc>
        <w:tc>
          <w:tcPr>
            <w:tcW w:w="1257" w:type="dxa"/>
            <w:shd w:val="clear" w:color="auto" w:fill="ACB9CA" w:themeFill="text2" w:themeFillTint="66"/>
          </w:tcPr>
          <w:p w:rsidR="00E025B0" w:rsidRPr="009265D7" w:rsidRDefault="00E025B0" w:rsidP="009265D7">
            <w:pPr>
              <w:pStyle w:val="ListParagraph"/>
              <w:tabs>
                <w:tab w:val="left" w:pos="900"/>
              </w:tabs>
              <w:ind w:left="0"/>
              <w:jc w:val="center"/>
              <w:rPr>
                <w:rFonts w:asciiTheme="minorHAnsi" w:hAnsiTheme="minorHAnsi"/>
                <w:sz w:val="22"/>
                <w:szCs w:val="22"/>
              </w:rPr>
            </w:pPr>
            <w:r w:rsidRPr="009265D7">
              <w:rPr>
                <w:rFonts w:asciiTheme="minorHAnsi" w:hAnsiTheme="minorHAnsi"/>
                <w:sz w:val="22"/>
                <w:szCs w:val="22"/>
              </w:rPr>
              <w:t>Completion</w:t>
            </w:r>
          </w:p>
        </w:tc>
      </w:tr>
      <w:tr w:rsidR="00E025B0" w:rsidRPr="009265D7" w:rsidTr="009265D7">
        <w:trPr>
          <w:trHeight w:val="221"/>
        </w:trPr>
        <w:tc>
          <w:tcPr>
            <w:tcW w:w="1717"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January 2016</w:t>
            </w:r>
          </w:p>
          <w:p w:rsidR="00E025B0" w:rsidRPr="009265D7" w:rsidRDefault="00E025B0" w:rsidP="00BA1424">
            <w:pPr>
              <w:pStyle w:val="ListParagraph"/>
              <w:tabs>
                <w:tab w:val="left" w:pos="900"/>
              </w:tabs>
              <w:ind w:left="0"/>
              <w:rPr>
                <w:rFonts w:asciiTheme="minorHAnsi" w:hAnsiTheme="minorHAnsi"/>
                <w:sz w:val="22"/>
                <w:szCs w:val="22"/>
              </w:rPr>
            </w:pPr>
          </w:p>
        </w:tc>
        <w:tc>
          <w:tcPr>
            <w:tcW w:w="5354" w:type="dxa"/>
          </w:tcPr>
          <w:p w:rsidR="009265D7" w:rsidRDefault="009265D7" w:rsidP="009265D7">
            <w:pPr>
              <w:autoSpaceDE w:val="0"/>
              <w:autoSpaceDN w:val="0"/>
              <w:adjustRightInd w:val="0"/>
              <w:spacing w:before="100" w:after="100"/>
              <w:rPr>
                <w:rFonts w:asciiTheme="minorHAnsi" w:hAnsiTheme="minorHAnsi"/>
                <w:sz w:val="22"/>
                <w:szCs w:val="22"/>
              </w:rPr>
            </w:pPr>
            <w:r w:rsidRPr="009265D7">
              <w:rPr>
                <w:rFonts w:asciiTheme="minorHAnsi" w:hAnsiTheme="minorHAnsi"/>
                <w:sz w:val="22"/>
                <w:szCs w:val="22"/>
              </w:rPr>
              <w:t xml:space="preserve">The residential visit will be based at </w:t>
            </w:r>
            <w:proofErr w:type="spellStart"/>
            <w:r w:rsidRPr="009265D7">
              <w:rPr>
                <w:rFonts w:asciiTheme="minorHAnsi" w:hAnsiTheme="minorHAnsi"/>
                <w:sz w:val="22"/>
                <w:szCs w:val="22"/>
              </w:rPr>
              <w:t>Tortworth</w:t>
            </w:r>
            <w:proofErr w:type="spellEnd"/>
            <w:r w:rsidRPr="009265D7">
              <w:rPr>
                <w:rFonts w:asciiTheme="minorHAnsi" w:hAnsiTheme="minorHAnsi"/>
                <w:sz w:val="22"/>
                <w:szCs w:val="22"/>
              </w:rPr>
              <w:t xml:space="preserve"> Court Hotel</w:t>
            </w:r>
            <w:r>
              <w:rPr>
                <w:rFonts w:asciiTheme="minorHAnsi" w:hAnsiTheme="minorHAnsi"/>
                <w:sz w:val="22"/>
                <w:szCs w:val="22"/>
              </w:rPr>
              <w:t>, Gloucestershire</w:t>
            </w:r>
            <w:r w:rsidRPr="009265D7">
              <w:rPr>
                <w:rFonts w:asciiTheme="minorHAnsi" w:hAnsiTheme="minorHAnsi"/>
                <w:sz w:val="22"/>
                <w:szCs w:val="22"/>
              </w:rPr>
              <w:t xml:space="preserve"> and will include visits to three current school partnerships to enable discussions with host school leaders about the step changes needed in leadership to allow for wider system leadership. Reading texts will be offered to help deepen thinking.</w:t>
            </w:r>
          </w:p>
          <w:p w:rsidR="009265D7" w:rsidRDefault="009265D7" w:rsidP="009265D7">
            <w:pPr>
              <w:autoSpaceDE w:val="0"/>
              <w:autoSpaceDN w:val="0"/>
              <w:adjustRightInd w:val="0"/>
              <w:spacing w:before="100" w:after="100"/>
              <w:rPr>
                <w:rFonts w:asciiTheme="minorHAnsi" w:hAnsiTheme="minorHAnsi"/>
                <w:sz w:val="22"/>
                <w:szCs w:val="22"/>
              </w:rPr>
            </w:pPr>
            <w:r w:rsidRPr="009265D7">
              <w:rPr>
                <w:rFonts w:asciiTheme="minorHAnsi" w:hAnsiTheme="minorHAnsi"/>
                <w:sz w:val="22"/>
                <w:szCs w:val="22"/>
              </w:rPr>
              <w:t xml:space="preserve"> </w:t>
            </w:r>
          </w:p>
          <w:p w:rsidR="00E025B0" w:rsidRPr="009265D7" w:rsidRDefault="009265D7" w:rsidP="009265D7">
            <w:pPr>
              <w:autoSpaceDE w:val="0"/>
              <w:autoSpaceDN w:val="0"/>
              <w:adjustRightInd w:val="0"/>
              <w:spacing w:before="100" w:after="100"/>
              <w:rPr>
                <w:rFonts w:asciiTheme="minorHAnsi" w:hAnsiTheme="minorHAnsi"/>
                <w:sz w:val="22"/>
                <w:szCs w:val="22"/>
              </w:rPr>
            </w:pPr>
            <w:r w:rsidRPr="009265D7">
              <w:rPr>
                <w:rFonts w:asciiTheme="minorHAnsi" w:hAnsiTheme="minorHAnsi"/>
                <w:sz w:val="22"/>
                <w:szCs w:val="22"/>
              </w:rPr>
              <w:t>The dates of the residential are planned as</w:t>
            </w:r>
            <w:r>
              <w:rPr>
                <w:rFonts w:asciiTheme="minorHAnsi" w:hAnsiTheme="minorHAnsi"/>
                <w:sz w:val="22"/>
                <w:szCs w:val="22"/>
              </w:rPr>
              <w:t xml:space="preserve">: </w:t>
            </w:r>
            <w:r w:rsidRPr="009265D7">
              <w:rPr>
                <w:rFonts w:asciiTheme="minorHAnsi" w:hAnsiTheme="minorHAnsi"/>
                <w:sz w:val="22"/>
                <w:szCs w:val="22"/>
              </w:rPr>
              <w:br/>
            </w:r>
            <w:r w:rsidRPr="009265D7">
              <w:rPr>
                <w:rFonts w:asciiTheme="minorHAnsi" w:hAnsiTheme="minorHAnsi"/>
                <w:sz w:val="22"/>
                <w:szCs w:val="22"/>
              </w:rPr>
              <w:br/>
              <w:t xml:space="preserve">January 25th: Arrive at </w:t>
            </w:r>
            <w:proofErr w:type="spellStart"/>
            <w:r w:rsidRPr="009265D7">
              <w:rPr>
                <w:rFonts w:asciiTheme="minorHAnsi" w:hAnsiTheme="minorHAnsi"/>
                <w:sz w:val="22"/>
                <w:szCs w:val="22"/>
              </w:rPr>
              <w:t>Tortworth</w:t>
            </w:r>
            <w:proofErr w:type="spellEnd"/>
            <w:r w:rsidRPr="009265D7">
              <w:rPr>
                <w:rFonts w:asciiTheme="minorHAnsi" w:hAnsiTheme="minorHAnsi"/>
                <w:sz w:val="22"/>
                <w:szCs w:val="22"/>
              </w:rPr>
              <w:t xml:space="preserve"> Court Hotel from 3.00, with welcome session from 4.00</w:t>
            </w:r>
            <w:r w:rsidRPr="009265D7">
              <w:rPr>
                <w:rFonts w:asciiTheme="minorHAnsi" w:hAnsiTheme="minorHAnsi"/>
                <w:sz w:val="22"/>
                <w:szCs w:val="22"/>
              </w:rPr>
              <w:br/>
            </w:r>
            <w:r w:rsidRPr="009265D7">
              <w:rPr>
                <w:rFonts w:asciiTheme="minorHAnsi" w:hAnsiTheme="minorHAnsi"/>
                <w:sz w:val="22"/>
                <w:szCs w:val="22"/>
              </w:rPr>
              <w:br/>
              <w:t>January 26th: Visits to two school partnerships in the Bristol area. Reflection and discussion with a keynote speaker</w:t>
            </w:r>
            <w:r w:rsidRPr="009265D7">
              <w:rPr>
                <w:rFonts w:asciiTheme="minorHAnsi" w:hAnsiTheme="minorHAnsi"/>
                <w:sz w:val="22"/>
                <w:szCs w:val="22"/>
              </w:rPr>
              <w:br/>
            </w:r>
            <w:r w:rsidRPr="009265D7">
              <w:rPr>
                <w:rFonts w:asciiTheme="minorHAnsi" w:hAnsiTheme="minorHAnsi"/>
                <w:sz w:val="22"/>
                <w:szCs w:val="22"/>
              </w:rPr>
              <w:br/>
              <w:t xml:space="preserve">January 27th: Visit to one further school partnership, reflection and then travel back to the far SW during the afternoon. </w:t>
            </w:r>
            <w:r w:rsidRPr="009265D7">
              <w:rPr>
                <w:rFonts w:asciiTheme="minorHAnsi" w:hAnsiTheme="minorHAnsi"/>
                <w:sz w:val="22"/>
                <w:szCs w:val="22"/>
              </w:rPr>
              <w:br/>
            </w:r>
            <w:r w:rsidRPr="009265D7">
              <w:rPr>
                <w:rFonts w:asciiTheme="minorHAnsi" w:hAnsiTheme="minorHAnsi"/>
                <w:sz w:val="22"/>
                <w:szCs w:val="22"/>
              </w:rPr>
              <w:br/>
              <w:t xml:space="preserve">During the rest of the Spring term you will be expected to explore your own leadership style and development in relation to working in a wider partnership of schools and how accountability structures work to benefit those schools in the partnership. You will also be able to work with an experienced system leader and coach who will support your future leadership development. </w:t>
            </w:r>
            <w:r w:rsidRPr="009265D7">
              <w:rPr>
                <w:rFonts w:asciiTheme="minorHAnsi" w:hAnsiTheme="minorHAnsi"/>
                <w:sz w:val="22"/>
                <w:szCs w:val="22"/>
              </w:rPr>
              <w:br/>
            </w:r>
            <w:r w:rsidRPr="009265D7">
              <w:rPr>
                <w:rFonts w:asciiTheme="minorHAnsi" w:hAnsiTheme="minorHAnsi"/>
                <w:sz w:val="22"/>
                <w:szCs w:val="22"/>
              </w:rPr>
              <w:br/>
              <w:t xml:space="preserve">The final part of the programme will be a day of sharing, with programme members sharing their personal insights and development. </w:t>
            </w:r>
            <w:r w:rsidRPr="009265D7">
              <w:rPr>
                <w:rFonts w:asciiTheme="minorHAnsi" w:hAnsiTheme="minorHAnsi"/>
                <w:sz w:val="22"/>
                <w:szCs w:val="22"/>
              </w:rPr>
              <w:br/>
            </w:r>
            <w:r w:rsidR="00E025B0" w:rsidRPr="009265D7">
              <w:rPr>
                <w:rFonts w:asciiTheme="minorHAnsi" w:hAnsiTheme="minorHAnsi"/>
                <w:sz w:val="22"/>
                <w:szCs w:val="22"/>
              </w:rPr>
              <w:t xml:space="preserve"> </w:t>
            </w:r>
          </w:p>
        </w:tc>
        <w:tc>
          <w:tcPr>
            <w:tcW w:w="1128"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2 days + evening</w:t>
            </w:r>
          </w:p>
        </w:tc>
        <w:tc>
          <w:tcPr>
            <w:tcW w:w="1257"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25-27</w:t>
            </w:r>
            <w:r w:rsidRPr="009265D7">
              <w:rPr>
                <w:rFonts w:asciiTheme="minorHAnsi" w:hAnsiTheme="minorHAnsi"/>
                <w:sz w:val="22"/>
                <w:szCs w:val="22"/>
                <w:vertAlign w:val="superscript"/>
              </w:rPr>
              <w:t>th</w:t>
            </w:r>
            <w:r w:rsidRPr="009265D7">
              <w:rPr>
                <w:rFonts w:asciiTheme="minorHAnsi" w:hAnsiTheme="minorHAnsi"/>
                <w:sz w:val="22"/>
                <w:szCs w:val="22"/>
              </w:rPr>
              <w:t xml:space="preserve"> January 2016</w:t>
            </w:r>
          </w:p>
        </w:tc>
      </w:tr>
      <w:tr w:rsidR="00E025B0" w:rsidRPr="009265D7" w:rsidTr="009265D7">
        <w:trPr>
          <w:trHeight w:val="234"/>
        </w:trPr>
        <w:tc>
          <w:tcPr>
            <w:tcW w:w="1717"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February – May 2016</w:t>
            </w:r>
          </w:p>
        </w:tc>
        <w:tc>
          <w:tcPr>
            <w:tcW w:w="5354"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 xml:space="preserve">One to one coaching to support career reflection and planning for the next opportunity </w:t>
            </w:r>
          </w:p>
        </w:tc>
        <w:tc>
          <w:tcPr>
            <w:tcW w:w="1128"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As requested</w:t>
            </w:r>
          </w:p>
        </w:tc>
        <w:tc>
          <w:tcPr>
            <w:tcW w:w="1257"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Ongoing</w:t>
            </w:r>
          </w:p>
        </w:tc>
      </w:tr>
      <w:tr w:rsidR="00E025B0" w:rsidRPr="009265D7" w:rsidTr="009265D7">
        <w:trPr>
          <w:trHeight w:val="234"/>
        </w:trPr>
        <w:tc>
          <w:tcPr>
            <w:tcW w:w="1717"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Spring/ Summer 2016</w:t>
            </w:r>
          </w:p>
        </w:tc>
        <w:tc>
          <w:tcPr>
            <w:tcW w:w="5354"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 xml:space="preserve">Self-directed study visit or group workshops to meet needs identified in Initial analysis and as programme develops and the development of skills. </w:t>
            </w:r>
          </w:p>
        </w:tc>
        <w:tc>
          <w:tcPr>
            <w:tcW w:w="1128"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Up to 4 x ½ days (could be various settings)</w:t>
            </w:r>
          </w:p>
        </w:tc>
        <w:tc>
          <w:tcPr>
            <w:tcW w:w="1257"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Summer 2016</w:t>
            </w:r>
          </w:p>
        </w:tc>
      </w:tr>
      <w:tr w:rsidR="00E025B0" w:rsidRPr="009265D7" w:rsidTr="009265D7">
        <w:trPr>
          <w:trHeight w:val="383"/>
        </w:trPr>
        <w:tc>
          <w:tcPr>
            <w:tcW w:w="1717" w:type="dxa"/>
          </w:tcPr>
          <w:p w:rsidR="00E025B0" w:rsidRPr="009265D7" w:rsidRDefault="009265D7" w:rsidP="00BA1424">
            <w:pPr>
              <w:pStyle w:val="ListParagraph"/>
              <w:tabs>
                <w:tab w:val="left" w:pos="900"/>
              </w:tabs>
              <w:ind w:left="0"/>
              <w:rPr>
                <w:rFonts w:asciiTheme="minorHAnsi" w:hAnsiTheme="minorHAnsi"/>
                <w:sz w:val="22"/>
                <w:szCs w:val="22"/>
              </w:rPr>
            </w:pPr>
            <w:r>
              <w:rPr>
                <w:rFonts w:asciiTheme="minorHAnsi" w:hAnsiTheme="minorHAnsi"/>
                <w:sz w:val="22"/>
                <w:szCs w:val="22"/>
              </w:rPr>
              <w:t>June 2016</w:t>
            </w:r>
          </w:p>
        </w:tc>
        <w:tc>
          <w:tcPr>
            <w:tcW w:w="5354"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Evaluation event</w:t>
            </w:r>
          </w:p>
        </w:tc>
        <w:tc>
          <w:tcPr>
            <w:tcW w:w="1128"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½ day +lunch</w:t>
            </w:r>
          </w:p>
        </w:tc>
        <w:tc>
          <w:tcPr>
            <w:tcW w:w="1257" w:type="dxa"/>
          </w:tcPr>
          <w:p w:rsidR="00E025B0" w:rsidRPr="009265D7" w:rsidRDefault="00E025B0" w:rsidP="00BA1424">
            <w:pPr>
              <w:pStyle w:val="ListParagraph"/>
              <w:tabs>
                <w:tab w:val="left" w:pos="900"/>
              </w:tabs>
              <w:ind w:left="0"/>
              <w:rPr>
                <w:rFonts w:asciiTheme="minorHAnsi" w:hAnsiTheme="minorHAnsi"/>
                <w:sz w:val="22"/>
                <w:szCs w:val="22"/>
              </w:rPr>
            </w:pPr>
            <w:r w:rsidRPr="009265D7">
              <w:rPr>
                <w:rFonts w:asciiTheme="minorHAnsi" w:hAnsiTheme="minorHAnsi"/>
                <w:sz w:val="22"/>
                <w:szCs w:val="22"/>
              </w:rPr>
              <w:t>June 21</w:t>
            </w:r>
            <w:r w:rsidRPr="009265D7">
              <w:rPr>
                <w:rFonts w:asciiTheme="minorHAnsi" w:hAnsiTheme="minorHAnsi"/>
                <w:sz w:val="22"/>
                <w:szCs w:val="22"/>
                <w:vertAlign w:val="superscript"/>
              </w:rPr>
              <w:t>st</w:t>
            </w:r>
            <w:r w:rsidRPr="009265D7">
              <w:rPr>
                <w:rFonts w:asciiTheme="minorHAnsi" w:hAnsiTheme="minorHAnsi"/>
                <w:sz w:val="22"/>
                <w:szCs w:val="22"/>
              </w:rPr>
              <w:t xml:space="preserve"> or 22</w:t>
            </w:r>
            <w:r w:rsidRPr="009265D7">
              <w:rPr>
                <w:rFonts w:asciiTheme="minorHAnsi" w:hAnsiTheme="minorHAnsi"/>
                <w:sz w:val="22"/>
                <w:szCs w:val="22"/>
                <w:vertAlign w:val="superscript"/>
              </w:rPr>
              <w:t>nd</w:t>
            </w:r>
            <w:r w:rsidRPr="009265D7">
              <w:rPr>
                <w:rFonts w:asciiTheme="minorHAnsi" w:hAnsiTheme="minorHAnsi"/>
                <w:sz w:val="22"/>
                <w:szCs w:val="22"/>
              </w:rPr>
              <w:t xml:space="preserve"> TBC</w:t>
            </w:r>
          </w:p>
        </w:tc>
      </w:tr>
      <w:tr w:rsidR="00E025B0" w:rsidRPr="009265D7" w:rsidTr="009265D7">
        <w:trPr>
          <w:trHeight w:val="221"/>
        </w:trPr>
        <w:tc>
          <w:tcPr>
            <w:tcW w:w="1717" w:type="dxa"/>
          </w:tcPr>
          <w:p w:rsidR="00E025B0" w:rsidRPr="009265D7" w:rsidRDefault="00E025B0" w:rsidP="009265D7">
            <w:pPr>
              <w:pStyle w:val="ListParagraph"/>
              <w:tabs>
                <w:tab w:val="left" w:pos="900"/>
              </w:tabs>
              <w:ind w:left="0"/>
              <w:rPr>
                <w:rFonts w:asciiTheme="minorHAnsi" w:hAnsiTheme="minorHAnsi"/>
                <w:sz w:val="22"/>
                <w:szCs w:val="22"/>
              </w:rPr>
            </w:pPr>
          </w:p>
        </w:tc>
        <w:tc>
          <w:tcPr>
            <w:tcW w:w="5354" w:type="dxa"/>
          </w:tcPr>
          <w:p w:rsidR="009265D7" w:rsidRPr="009265D7" w:rsidRDefault="009265D7" w:rsidP="009265D7">
            <w:pPr>
              <w:pStyle w:val="ListParagraph"/>
              <w:tabs>
                <w:tab w:val="left" w:pos="900"/>
              </w:tabs>
              <w:ind w:left="0"/>
              <w:rPr>
                <w:rFonts w:asciiTheme="minorHAnsi" w:hAnsiTheme="minorHAnsi"/>
                <w:sz w:val="22"/>
                <w:szCs w:val="22"/>
              </w:rPr>
            </w:pPr>
            <w:r w:rsidRPr="009265D7">
              <w:rPr>
                <w:rFonts w:asciiTheme="minorHAnsi" w:hAnsiTheme="minorHAnsi"/>
                <w:sz w:val="22"/>
                <w:szCs w:val="22"/>
              </w:rPr>
              <w:t>Suggested topics to be addressed through initial residential and then further visits/workshops in Spring term.</w:t>
            </w:r>
          </w:p>
          <w:p w:rsidR="009265D7" w:rsidRPr="009265D7" w:rsidRDefault="009265D7" w:rsidP="009265D7">
            <w:pPr>
              <w:pStyle w:val="ListParagraph"/>
              <w:tabs>
                <w:tab w:val="left" w:pos="900"/>
              </w:tabs>
              <w:ind w:left="0"/>
              <w:rPr>
                <w:rFonts w:asciiTheme="minorHAnsi" w:hAnsiTheme="minorHAnsi"/>
                <w:sz w:val="22"/>
                <w:szCs w:val="22"/>
              </w:rPr>
            </w:pPr>
            <w:r w:rsidRPr="009265D7">
              <w:rPr>
                <w:rFonts w:asciiTheme="minorHAnsi" w:hAnsiTheme="minorHAnsi"/>
                <w:sz w:val="22"/>
                <w:szCs w:val="22"/>
              </w:rPr>
              <w:t>Topics designed to meet participant needs but will include;</w:t>
            </w:r>
          </w:p>
          <w:p w:rsidR="00E025B0" w:rsidRPr="009265D7" w:rsidRDefault="00E025B0" w:rsidP="00BA1424">
            <w:pPr>
              <w:tabs>
                <w:tab w:val="left" w:pos="900"/>
              </w:tabs>
              <w:rPr>
                <w:rFonts w:asciiTheme="minorHAnsi" w:hAnsiTheme="minorHAnsi"/>
                <w:b/>
                <w:sz w:val="22"/>
                <w:szCs w:val="22"/>
              </w:rPr>
            </w:pPr>
            <w:r w:rsidRPr="009265D7">
              <w:rPr>
                <w:rFonts w:asciiTheme="minorHAnsi" w:hAnsiTheme="minorHAnsi"/>
                <w:b/>
                <w:sz w:val="22"/>
                <w:szCs w:val="22"/>
              </w:rPr>
              <w:t>Becoming a MAT</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Principles &amp; values</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Role of Exec Heads &amp; MAT leads Timetable for conversion</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Barriers and enablers for successful MATs.</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Leadership models.</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 xml:space="preserve">Finance </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Governance</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Systems of monitoring &amp; evaluation of partner schools</w:t>
            </w:r>
          </w:p>
          <w:p w:rsidR="00E025B0" w:rsidRPr="009265D7" w:rsidRDefault="00E025B0" w:rsidP="00BA1424">
            <w:pPr>
              <w:pStyle w:val="ListParagraph"/>
              <w:numPr>
                <w:ilvl w:val="0"/>
                <w:numId w:val="1"/>
              </w:numPr>
              <w:tabs>
                <w:tab w:val="left" w:pos="900"/>
              </w:tabs>
              <w:spacing w:after="0" w:line="240" w:lineRule="auto"/>
              <w:rPr>
                <w:rFonts w:asciiTheme="minorHAnsi" w:hAnsiTheme="minorHAnsi" w:cs="Times New Roman"/>
                <w:sz w:val="22"/>
                <w:szCs w:val="22"/>
              </w:rPr>
            </w:pPr>
            <w:r w:rsidRPr="009265D7">
              <w:rPr>
                <w:rFonts w:asciiTheme="minorHAnsi" w:hAnsiTheme="minorHAnsi" w:cs="Times New Roman"/>
                <w:sz w:val="22"/>
                <w:szCs w:val="22"/>
              </w:rPr>
              <w:t>Duty of care on the journey to Good &amp; Outstanding</w:t>
            </w:r>
          </w:p>
        </w:tc>
        <w:tc>
          <w:tcPr>
            <w:tcW w:w="1128" w:type="dxa"/>
          </w:tcPr>
          <w:p w:rsidR="00E025B0" w:rsidRPr="009265D7" w:rsidRDefault="00E025B0" w:rsidP="00BA1424">
            <w:pPr>
              <w:pStyle w:val="ListParagraph"/>
              <w:tabs>
                <w:tab w:val="left" w:pos="900"/>
              </w:tabs>
              <w:ind w:left="0"/>
              <w:rPr>
                <w:rFonts w:asciiTheme="minorHAnsi" w:hAnsiTheme="minorHAnsi"/>
                <w:sz w:val="22"/>
                <w:szCs w:val="22"/>
              </w:rPr>
            </w:pPr>
          </w:p>
        </w:tc>
        <w:tc>
          <w:tcPr>
            <w:tcW w:w="1257" w:type="dxa"/>
          </w:tcPr>
          <w:p w:rsidR="00E025B0" w:rsidRPr="009265D7" w:rsidRDefault="00E025B0" w:rsidP="00BA1424">
            <w:pPr>
              <w:pStyle w:val="ListParagraph"/>
              <w:tabs>
                <w:tab w:val="left" w:pos="900"/>
              </w:tabs>
              <w:ind w:left="0"/>
              <w:rPr>
                <w:rFonts w:asciiTheme="minorHAnsi" w:hAnsiTheme="minorHAnsi"/>
                <w:sz w:val="22"/>
                <w:szCs w:val="22"/>
              </w:rPr>
            </w:pPr>
          </w:p>
        </w:tc>
      </w:tr>
    </w:tbl>
    <w:p w:rsidR="00E025B0" w:rsidRPr="00E025B0" w:rsidRDefault="00E025B0" w:rsidP="00E025B0"/>
    <w:sectPr w:rsidR="00E025B0" w:rsidRPr="00E025B0" w:rsidSect="00C866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E3" w:rsidRDefault="00707FE3" w:rsidP="00C866B9">
      <w:pPr>
        <w:spacing w:after="0" w:line="240" w:lineRule="auto"/>
      </w:pPr>
      <w:r>
        <w:separator/>
      </w:r>
    </w:p>
  </w:endnote>
  <w:endnote w:type="continuationSeparator" w:id="0">
    <w:p w:rsidR="00707FE3" w:rsidRDefault="00707FE3" w:rsidP="00C8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0" w:rsidRDefault="00E02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0" w:rsidRDefault="00E02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0" w:rsidRDefault="00E02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E3" w:rsidRDefault="00707FE3" w:rsidP="00C866B9">
      <w:pPr>
        <w:spacing w:after="0" w:line="240" w:lineRule="auto"/>
      </w:pPr>
      <w:r>
        <w:separator/>
      </w:r>
    </w:p>
  </w:footnote>
  <w:footnote w:type="continuationSeparator" w:id="0">
    <w:p w:rsidR="00707FE3" w:rsidRDefault="00707FE3" w:rsidP="00C86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0" w:rsidRDefault="00E02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0" w:rsidRDefault="00E025B0" w:rsidP="00E025B0">
    <w:pPr>
      <w:pStyle w:val="Header"/>
      <w:tabs>
        <w:tab w:val="left" w:pos="5387"/>
      </w:tabs>
    </w:pPr>
    <w:r>
      <w:rPr>
        <w:noProof/>
        <w:lang w:eastAsia="en-GB"/>
      </w:rPr>
      <w:drawing>
        <wp:anchor distT="0" distB="0" distL="114300" distR="114300" simplePos="0" relativeHeight="251665408" behindDoc="1" locked="0" layoutInCell="1" allowOverlap="1" wp14:anchorId="6F109436" wp14:editId="6A12CF01">
          <wp:simplePos x="0" y="0"/>
          <wp:positionH relativeFrom="margin">
            <wp:posOffset>4226560</wp:posOffset>
          </wp:positionH>
          <wp:positionV relativeFrom="paragraph">
            <wp:posOffset>-322580</wp:posOffset>
          </wp:positionV>
          <wp:extent cx="866775" cy="615315"/>
          <wp:effectExtent l="0" t="0" r="9525" b="0"/>
          <wp:wrapTight wrapText="bothSides">
            <wp:wrapPolygon edited="0">
              <wp:start x="18040" y="0"/>
              <wp:lineTo x="3798" y="3344"/>
              <wp:lineTo x="475" y="5350"/>
              <wp:lineTo x="475" y="15381"/>
              <wp:lineTo x="10444" y="19393"/>
              <wp:lineTo x="17565" y="20731"/>
              <wp:lineTo x="20413" y="20731"/>
              <wp:lineTo x="21363" y="0"/>
              <wp:lineTo x="18040" y="0"/>
            </wp:wrapPolygon>
          </wp:wrapTight>
          <wp:docPr id="5" name="Picture 5" descr="D:\Users\teresa.lawrance\AppData\Local\Microsoft\Windows\Temporary Internet Files\Content.Word\NDTSA_Logo_RGB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eresa.lawrance\AppData\Local\Microsoft\Windows\Temporary Internet Files\Content.Word\NDTSA_Logo_RGB_ne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C2D">
      <w:rPr>
        <w:noProof/>
        <w:lang w:eastAsia="en-GB"/>
      </w:rPr>
      <w:drawing>
        <wp:anchor distT="0" distB="0" distL="114300" distR="114300" simplePos="0" relativeHeight="251659264" behindDoc="1" locked="0" layoutInCell="1" allowOverlap="1" wp14:anchorId="7D7B7668" wp14:editId="047A6C58">
          <wp:simplePos x="0" y="0"/>
          <wp:positionH relativeFrom="column">
            <wp:posOffset>5695950</wp:posOffset>
          </wp:positionH>
          <wp:positionV relativeFrom="paragraph">
            <wp:posOffset>-271145</wp:posOffset>
          </wp:positionV>
          <wp:extent cx="407670" cy="504825"/>
          <wp:effectExtent l="0" t="0" r="0" b="9525"/>
          <wp:wrapTight wrapText="bothSides">
            <wp:wrapPolygon edited="0">
              <wp:start x="0" y="0"/>
              <wp:lineTo x="0" y="21192"/>
              <wp:lineTo x="20187" y="21192"/>
              <wp:lineTo x="20187" y="0"/>
              <wp:lineTo x="0" y="0"/>
            </wp:wrapPolygon>
          </wp:wrapTight>
          <wp:docPr id="2" name="Picture 2" descr="C:\Users\Andy\Pictures\PT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Pictures\PTS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767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C2D">
      <w:rPr>
        <w:noProof/>
        <w:lang w:eastAsia="en-GB"/>
      </w:rPr>
      <w:drawing>
        <wp:anchor distT="0" distB="0" distL="114300" distR="114300" simplePos="0" relativeHeight="251662336" behindDoc="1" locked="0" layoutInCell="1" allowOverlap="1" wp14:anchorId="14F026C3" wp14:editId="5C0BD4EA">
          <wp:simplePos x="0" y="0"/>
          <wp:positionH relativeFrom="margin">
            <wp:posOffset>1046480</wp:posOffset>
          </wp:positionH>
          <wp:positionV relativeFrom="paragraph">
            <wp:posOffset>-250190</wp:posOffset>
          </wp:positionV>
          <wp:extent cx="1447800" cy="421005"/>
          <wp:effectExtent l="0" t="0" r="0" b="0"/>
          <wp:wrapTight wrapText="bothSides">
            <wp:wrapPolygon edited="0">
              <wp:start x="0" y="0"/>
              <wp:lineTo x="0" y="20525"/>
              <wp:lineTo x="21316" y="20525"/>
              <wp:lineTo x="21316" y="0"/>
              <wp:lineTo x="0" y="0"/>
            </wp:wrapPolygon>
          </wp:wrapTight>
          <wp:docPr id="1" name="Picture 1" descr="C:\Users\Andy\Pictures\D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Pictures\DTSP.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7800" cy="421005"/>
                  </a:xfrm>
                  <a:prstGeom prst="rect">
                    <a:avLst/>
                  </a:prstGeom>
                  <a:noFill/>
                  <a:ln>
                    <a:noFill/>
                  </a:ln>
                </pic:spPr>
              </pic:pic>
            </a:graphicData>
          </a:graphic>
        </wp:anchor>
      </w:drawing>
    </w:r>
    <w:r w:rsidRPr="00897627">
      <w:rPr>
        <w:noProof/>
        <w:lang w:eastAsia="en-GB"/>
      </w:rPr>
      <w:drawing>
        <wp:anchor distT="0" distB="0" distL="114300" distR="114300" simplePos="0" relativeHeight="251664384" behindDoc="1" locked="0" layoutInCell="1" allowOverlap="1" wp14:anchorId="4CF3F930" wp14:editId="46AB7AA8">
          <wp:simplePos x="0" y="0"/>
          <wp:positionH relativeFrom="column">
            <wp:posOffset>2876550</wp:posOffset>
          </wp:positionH>
          <wp:positionV relativeFrom="paragraph">
            <wp:posOffset>-316865</wp:posOffset>
          </wp:positionV>
          <wp:extent cx="822325" cy="579120"/>
          <wp:effectExtent l="0" t="0" r="0" b="0"/>
          <wp:wrapTight wrapText="bothSides">
            <wp:wrapPolygon edited="0">
              <wp:start x="0" y="0"/>
              <wp:lineTo x="0" y="20605"/>
              <wp:lineTo x="21016" y="20605"/>
              <wp:lineTo x="21016" y="0"/>
              <wp:lineTo x="0" y="0"/>
            </wp:wrapPolygon>
          </wp:wrapTight>
          <wp:docPr id="4" name="Picture 4" descr="C:\C\Users\Teresa\Documents\electronic sigs\KT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Users\Teresa\Documents\electronic sigs\KTS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32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40A">
      <w:rPr>
        <w:noProof/>
        <w:lang w:eastAsia="en-GB"/>
      </w:rPr>
      <w:drawing>
        <wp:anchor distT="0" distB="0" distL="114300" distR="114300" simplePos="0" relativeHeight="251661312" behindDoc="1" locked="0" layoutInCell="1" allowOverlap="1" wp14:anchorId="3B8D5F2A" wp14:editId="3988A9D2">
          <wp:simplePos x="0" y="0"/>
          <wp:positionH relativeFrom="column">
            <wp:posOffset>-733425</wp:posOffset>
          </wp:positionH>
          <wp:positionV relativeFrom="paragraph">
            <wp:posOffset>-301625</wp:posOffset>
          </wp:positionV>
          <wp:extent cx="1600200" cy="601980"/>
          <wp:effectExtent l="0" t="0" r="0" b="7620"/>
          <wp:wrapTight wrapText="bothSides">
            <wp:wrapPolygon edited="0">
              <wp:start x="0" y="0"/>
              <wp:lineTo x="0" y="21190"/>
              <wp:lineTo x="21343" y="21190"/>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00200" cy="6019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0" w:rsidRDefault="00E02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75EB"/>
    <w:multiLevelType w:val="hybridMultilevel"/>
    <w:tmpl w:val="2B30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B9"/>
    <w:rsid w:val="00094E18"/>
    <w:rsid w:val="00707FE3"/>
    <w:rsid w:val="009265D7"/>
    <w:rsid w:val="00B42198"/>
    <w:rsid w:val="00C866B9"/>
    <w:rsid w:val="00E0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B9"/>
  </w:style>
  <w:style w:type="paragraph" w:styleId="Footer">
    <w:name w:val="footer"/>
    <w:basedOn w:val="Normal"/>
    <w:link w:val="FooterChar"/>
    <w:uiPriority w:val="99"/>
    <w:unhideWhenUsed/>
    <w:rsid w:val="00C8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B9"/>
  </w:style>
  <w:style w:type="paragraph" w:styleId="ListParagraph">
    <w:name w:val="List Paragraph"/>
    <w:basedOn w:val="Normal"/>
    <w:link w:val="ListParagraphChar"/>
    <w:qFormat/>
    <w:rsid w:val="00C866B9"/>
    <w:pPr>
      <w:spacing w:after="200" w:line="276" w:lineRule="auto"/>
      <w:ind w:left="720"/>
      <w:contextualSpacing/>
    </w:pPr>
    <w:rPr>
      <w:rFonts w:ascii="Arial" w:hAnsi="Arial" w:cs="Arial"/>
      <w:sz w:val="24"/>
    </w:rPr>
  </w:style>
  <w:style w:type="table" w:styleId="TableGrid">
    <w:name w:val="Table Grid"/>
    <w:basedOn w:val="TableNormal"/>
    <w:rsid w:val="00C866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C866B9"/>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B9"/>
  </w:style>
  <w:style w:type="paragraph" w:styleId="Footer">
    <w:name w:val="footer"/>
    <w:basedOn w:val="Normal"/>
    <w:link w:val="FooterChar"/>
    <w:uiPriority w:val="99"/>
    <w:unhideWhenUsed/>
    <w:rsid w:val="00C8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B9"/>
  </w:style>
  <w:style w:type="paragraph" w:styleId="ListParagraph">
    <w:name w:val="List Paragraph"/>
    <w:basedOn w:val="Normal"/>
    <w:link w:val="ListParagraphChar"/>
    <w:qFormat/>
    <w:rsid w:val="00C866B9"/>
    <w:pPr>
      <w:spacing w:after="200" w:line="276" w:lineRule="auto"/>
      <w:ind w:left="720"/>
      <w:contextualSpacing/>
    </w:pPr>
    <w:rPr>
      <w:rFonts w:ascii="Arial" w:hAnsi="Arial" w:cs="Arial"/>
      <w:sz w:val="24"/>
    </w:rPr>
  </w:style>
  <w:style w:type="table" w:styleId="TableGrid">
    <w:name w:val="Table Grid"/>
    <w:basedOn w:val="TableNormal"/>
    <w:rsid w:val="00C866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C866B9"/>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College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Lawrance</dc:creator>
  <cp:lastModifiedBy>MITTEN, Chris (NC Associate)</cp:lastModifiedBy>
  <cp:revision>2</cp:revision>
  <dcterms:created xsi:type="dcterms:W3CDTF">2015-12-06T17:38:00Z</dcterms:created>
  <dcterms:modified xsi:type="dcterms:W3CDTF">2015-12-06T17:38:00Z</dcterms:modified>
</cp:coreProperties>
</file>