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AFC8" w14:textId="6584B522" w:rsidR="00BD5CB1" w:rsidRDefault="00B41E13">
      <w:r>
        <w:t>1</w:t>
      </w:r>
    </w:p>
    <w:p w14:paraId="09197024" w14:textId="77777777" w:rsidR="00BD5CB1" w:rsidRDefault="00BD5CB1"/>
    <w:p w14:paraId="2FEFB872" w14:textId="77777777" w:rsidR="00BD5CB1" w:rsidRDefault="00BD5CB1"/>
    <w:p w14:paraId="1A83BD11" w14:textId="77777777" w:rsidR="00BD5CB1" w:rsidRPr="0044586E" w:rsidRDefault="00BD5CB1">
      <w:pPr>
        <w:rPr>
          <w:rFonts w:cstheme="minorHAnsi"/>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30"/>
      </w:tblGrid>
      <w:tr w:rsidR="00BD5CB1" w:rsidRPr="00482BE9" w14:paraId="4A7DBAC7" w14:textId="77777777" w:rsidTr="0030500E">
        <w:trPr>
          <w:trHeight w:val="1843"/>
        </w:trPr>
        <w:tc>
          <w:tcPr>
            <w:tcW w:w="8930" w:type="dxa"/>
          </w:tcPr>
          <w:p w14:paraId="29EC165C" w14:textId="2E98B9F4" w:rsidR="00BD5CB1" w:rsidRDefault="0002654B" w:rsidP="004B2641">
            <w:pPr>
              <w:jc w:val="center"/>
              <w:rPr>
                <w:rFonts w:cstheme="minorHAnsi"/>
                <w:b/>
                <w:color w:val="0087CD"/>
                <w:sz w:val="56"/>
                <w:szCs w:val="56"/>
                <w:lang w:bidi="x-none"/>
              </w:rPr>
            </w:pPr>
            <w:r>
              <w:rPr>
                <w:rFonts w:cstheme="minorHAnsi"/>
                <w:b/>
                <w:color w:val="0087CD"/>
                <w:sz w:val="56"/>
                <w:szCs w:val="56"/>
                <w:lang w:bidi="x-none"/>
              </w:rPr>
              <w:t xml:space="preserve">Area Inclusion Panel Referral </w:t>
            </w:r>
            <w:proofErr w:type="gramStart"/>
            <w:r>
              <w:rPr>
                <w:rFonts w:cstheme="minorHAnsi"/>
                <w:b/>
                <w:color w:val="0087CD"/>
                <w:sz w:val="56"/>
                <w:szCs w:val="56"/>
                <w:lang w:bidi="x-none"/>
              </w:rPr>
              <w:t>Form ,</w:t>
            </w:r>
            <w:proofErr w:type="gramEnd"/>
            <w:r>
              <w:rPr>
                <w:rFonts w:cstheme="minorHAnsi"/>
                <w:b/>
                <w:color w:val="0087CD"/>
                <w:sz w:val="56"/>
                <w:szCs w:val="56"/>
                <w:lang w:bidi="x-none"/>
              </w:rPr>
              <w:t xml:space="preserve"> Autumn 25</w:t>
            </w:r>
          </w:p>
          <w:p w14:paraId="2E433B38" w14:textId="77777777" w:rsidR="00F37C44" w:rsidRDefault="00F37C44" w:rsidP="004B2641">
            <w:pPr>
              <w:jc w:val="center"/>
              <w:rPr>
                <w:rFonts w:cstheme="minorHAnsi"/>
                <w:b/>
                <w:color w:val="196B24" w:themeColor="accent3"/>
                <w:sz w:val="36"/>
                <w:szCs w:val="36"/>
                <w:lang w:bidi="x-none"/>
              </w:rPr>
            </w:pPr>
          </w:p>
          <w:p w14:paraId="17AD9CB0" w14:textId="3636A250" w:rsidR="0057734B" w:rsidRDefault="00910AC7" w:rsidP="00592558">
            <w:pPr>
              <w:rPr>
                <w:rFonts w:cstheme="minorHAnsi"/>
                <w:b/>
                <w:sz w:val="20"/>
                <w:szCs w:val="20"/>
                <w:lang w:bidi="x-none"/>
              </w:rPr>
            </w:pPr>
            <w:r>
              <w:rPr>
                <w:rFonts w:cstheme="minorHAnsi"/>
                <w:b/>
                <w:sz w:val="20"/>
                <w:szCs w:val="20"/>
                <w:lang w:bidi="x-none"/>
              </w:rPr>
              <w:t>NB</w:t>
            </w:r>
            <w:r w:rsidR="00592558">
              <w:rPr>
                <w:rFonts w:cstheme="minorHAnsi"/>
                <w:b/>
                <w:sz w:val="20"/>
                <w:szCs w:val="20"/>
                <w:lang w:bidi="x-none"/>
              </w:rPr>
              <w:t xml:space="preserve">, </w:t>
            </w:r>
            <w:proofErr w:type="gramStart"/>
            <w:r w:rsidR="00592558">
              <w:rPr>
                <w:rFonts w:cstheme="minorHAnsi"/>
                <w:b/>
                <w:sz w:val="20"/>
                <w:szCs w:val="20"/>
                <w:lang w:bidi="x-none"/>
              </w:rPr>
              <w:t>By</w:t>
            </w:r>
            <w:proofErr w:type="gramEnd"/>
            <w:r w:rsidR="00592558">
              <w:rPr>
                <w:rFonts w:cstheme="minorHAnsi"/>
                <w:b/>
                <w:sz w:val="20"/>
                <w:szCs w:val="20"/>
                <w:lang w:bidi="x-none"/>
              </w:rPr>
              <w:t xml:space="preserve"> completing this form </w:t>
            </w:r>
            <w:r w:rsidR="00773D66">
              <w:rPr>
                <w:rFonts w:cstheme="minorHAnsi"/>
                <w:b/>
                <w:sz w:val="20"/>
                <w:szCs w:val="20"/>
                <w:lang w:bidi="x-none"/>
              </w:rPr>
              <w:t xml:space="preserve">there is no </w:t>
            </w:r>
            <w:r w:rsidR="00A75E28">
              <w:rPr>
                <w:rFonts w:cstheme="minorHAnsi"/>
                <w:b/>
                <w:sz w:val="20"/>
                <w:szCs w:val="20"/>
                <w:lang w:bidi="x-none"/>
              </w:rPr>
              <w:t>guarantee of an APA space, it will enable the panel to make an informed decision,</w:t>
            </w:r>
          </w:p>
          <w:p w14:paraId="4AF8EBE0" w14:textId="16C56869" w:rsidR="005F41AF" w:rsidRPr="004B2641" w:rsidRDefault="005F41AF" w:rsidP="005F41AF">
            <w:pPr>
              <w:jc w:val="center"/>
              <w:rPr>
                <w:rFonts w:cstheme="minorHAnsi"/>
                <w:b/>
                <w:color w:val="0087CD"/>
                <w:sz w:val="36"/>
                <w:szCs w:val="36"/>
                <w:lang w:bidi="x-none"/>
              </w:rPr>
            </w:pPr>
          </w:p>
        </w:tc>
      </w:tr>
      <w:tr w:rsidR="00BD5CB1" w:rsidRPr="00482BE9" w14:paraId="0D93636D" w14:textId="77777777" w:rsidTr="0030500E">
        <w:trPr>
          <w:trHeight w:val="1711"/>
        </w:trPr>
        <w:tc>
          <w:tcPr>
            <w:tcW w:w="8930" w:type="dxa"/>
          </w:tcPr>
          <w:p w14:paraId="54734C4B" w14:textId="3DAB7F14" w:rsidR="00BD5CB1" w:rsidRPr="00F37C44" w:rsidRDefault="00BD5CB1" w:rsidP="00482BE9">
            <w:pPr>
              <w:rPr>
                <w:rFonts w:cstheme="minorHAnsi"/>
                <w:sz w:val="36"/>
                <w:szCs w:val="36"/>
                <w:lang w:bidi="x-none"/>
              </w:rPr>
            </w:pPr>
            <w:r w:rsidRPr="00F37C44">
              <w:rPr>
                <w:rFonts w:cstheme="minorHAnsi"/>
                <w:sz w:val="36"/>
                <w:szCs w:val="36"/>
                <w:lang w:bidi="x-none"/>
              </w:rPr>
              <w:t xml:space="preserve">Student </w:t>
            </w:r>
            <w:r w:rsidR="00E11A41" w:rsidRPr="00F37C44">
              <w:rPr>
                <w:rFonts w:cstheme="minorHAnsi"/>
                <w:sz w:val="36"/>
                <w:szCs w:val="36"/>
                <w:lang w:bidi="x-none"/>
              </w:rPr>
              <w:t>Name.</w:t>
            </w:r>
            <w:r w:rsidRPr="00F37C44">
              <w:rPr>
                <w:rFonts w:cstheme="minorHAnsi"/>
                <w:sz w:val="36"/>
                <w:szCs w:val="36"/>
                <w:lang w:bidi="x-none"/>
              </w:rPr>
              <w:t xml:space="preserve"> </w:t>
            </w:r>
          </w:p>
          <w:p w14:paraId="6642B794" w14:textId="77777777" w:rsidR="00BD5CB1" w:rsidRPr="00F37C44" w:rsidRDefault="00BD5CB1" w:rsidP="00482BE9">
            <w:pPr>
              <w:rPr>
                <w:rFonts w:cstheme="minorHAnsi"/>
                <w:sz w:val="36"/>
                <w:szCs w:val="36"/>
                <w:lang w:bidi="x-none"/>
              </w:rPr>
            </w:pPr>
          </w:p>
          <w:p w14:paraId="28899CE8" w14:textId="411DA4B6" w:rsidR="00BD5CB1" w:rsidRPr="00F37C44" w:rsidRDefault="00BD5CB1" w:rsidP="00482BE9">
            <w:pPr>
              <w:rPr>
                <w:rFonts w:cstheme="minorHAnsi"/>
                <w:sz w:val="36"/>
                <w:szCs w:val="36"/>
                <w:lang w:bidi="x-none"/>
              </w:rPr>
            </w:pPr>
            <w:r w:rsidRPr="00F37C44">
              <w:rPr>
                <w:rFonts w:cstheme="minorHAnsi"/>
                <w:sz w:val="36"/>
                <w:szCs w:val="36"/>
                <w:lang w:bidi="x-none"/>
              </w:rPr>
              <w:t xml:space="preserve">Year </w:t>
            </w:r>
            <w:r w:rsidR="00E11A41" w:rsidRPr="00F37C44">
              <w:rPr>
                <w:rFonts w:cstheme="minorHAnsi"/>
                <w:sz w:val="36"/>
                <w:szCs w:val="36"/>
                <w:lang w:bidi="x-none"/>
              </w:rPr>
              <w:t>Group.</w:t>
            </w:r>
            <w:r w:rsidRPr="00F37C44">
              <w:rPr>
                <w:rFonts w:cstheme="minorHAnsi"/>
                <w:sz w:val="36"/>
                <w:szCs w:val="36"/>
                <w:lang w:bidi="x-none"/>
              </w:rPr>
              <w:t xml:space="preserve"> </w:t>
            </w:r>
          </w:p>
          <w:p w14:paraId="42553896" w14:textId="77777777" w:rsidR="00BD5CB1" w:rsidRPr="00F37C44" w:rsidRDefault="00BD5CB1" w:rsidP="00482BE9">
            <w:pPr>
              <w:rPr>
                <w:rFonts w:cstheme="minorHAnsi"/>
                <w:sz w:val="36"/>
                <w:szCs w:val="36"/>
                <w:lang w:bidi="x-none"/>
              </w:rPr>
            </w:pPr>
          </w:p>
          <w:p w14:paraId="5A68B732" w14:textId="2935E7DC" w:rsidR="00BD5CB1" w:rsidRDefault="00BD5CB1" w:rsidP="00482BE9">
            <w:pPr>
              <w:rPr>
                <w:rFonts w:cstheme="minorHAnsi"/>
                <w:sz w:val="36"/>
                <w:szCs w:val="36"/>
                <w:lang w:bidi="x-none"/>
              </w:rPr>
            </w:pPr>
            <w:r w:rsidRPr="00F37C44">
              <w:rPr>
                <w:rFonts w:cstheme="minorHAnsi"/>
                <w:sz w:val="36"/>
                <w:szCs w:val="36"/>
                <w:lang w:bidi="x-none"/>
              </w:rPr>
              <w:t xml:space="preserve">Referring </w:t>
            </w:r>
            <w:r w:rsidR="00E11A41" w:rsidRPr="00F37C44">
              <w:rPr>
                <w:rFonts w:cstheme="minorHAnsi"/>
                <w:sz w:val="36"/>
                <w:szCs w:val="36"/>
                <w:lang w:bidi="x-none"/>
              </w:rPr>
              <w:t>School.</w:t>
            </w:r>
          </w:p>
          <w:p w14:paraId="70CC3750" w14:textId="77777777" w:rsidR="00592558" w:rsidRDefault="00592558" w:rsidP="00482BE9">
            <w:pPr>
              <w:rPr>
                <w:rFonts w:cstheme="minorHAnsi"/>
                <w:sz w:val="36"/>
                <w:szCs w:val="36"/>
                <w:lang w:bidi="x-none"/>
              </w:rPr>
            </w:pPr>
          </w:p>
          <w:p w14:paraId="02F96514" w14:textId="1C4717F8" w:rsidR="00592558" w:rsidRPr="00F37C44" w:rsidRDefault="00773D66" w:rsidP="00482BE9">
            <w:pPr>
              <w:rPr>
                <w:rFonts w:cstheme="minorHAnsi"/>
                <w:sz w:val="36"/>
                <w:szCs w:val="36"/>
                <w:lang w:bidi="x-none"/>
              </w:rPr>
            </w:pPr>
            <w:r>
              <w:rPr>
                <w:rFonts w:cstheme="minorHAnsi"/>
                <w:sz w:val="36"/>
                <w:szCs w:val="36"/>
                <w:lang w:bidi="x-none"/>
              </w:rPr>
              <w:t>Parents agreed for this referral   Yes / No</w:t>
            </w:r>
          </w:p>
          <w:p w14:paraId="77300115" w14:textId="77777777" w:rsidR="00A741FE" w:rsidRPr="00F37C44" w:rsidRDefault="00A741FE" w:rsidP="00482BE9">
            <w:pPr>
              <w:rPr>
                <w:rFonts w:cstheme="minorHAnsi"/>
                <w:sz w:val="36"/>
                <w:szCs w:val="36"/>
                <w:lang w:bidi="x-none"/>
              </w:rPr>
            </w:pPr>
          </w:p>
          <w:p w14:paraId="17133871" w14:textId="58B76C54" w:rsidR="00A741FE" w:rsidRPr="00F37C44" w:rsidRDefault="00A741FE" w:rsidP="00482BE9">
            <w:pPr>
              <w:rPr>
                <w:rFonts w:cstheme="minorHAnsi"/>
                <w:sz w:val="36"/>
                <w:szCs w:val="36"/>
                <w:lang w:bidi="x-none"/>
              </w:rPr>
            </w:pPr>
          </w:p>
          <w:p w14:paraId="7E48D7CC" w14:textId="77777777" w:rsidR="00BD5CB1" w:rsidRPr="00482BE9" w:rsidRDefault="00BD5CB1" w:rsidP="00482BE9">
            <w:pPr>
              <w:rPr>
                <w:rFonts w:cstheme="minorHAnsi"/>
                <w:sz w:val="44"/>
                <w:szCs w:val="44"/>
                <w:lang w:bidi="x-none"/>
              </w:rPr>
            </w:pPr>
          </w:p>
          <w:p w14:paraId="4B8B96C2" w14:textId="77777777" w:rsidR="00BD5CB1" w:rsidRPr="00482BE9" w:rsidRDefault="00BD5CB1" w:rsidP="00482BE9">
            <w:pPr>
              <w:rPr>
                <w:rFonts w:cstheme="minorHAnsi"/>
                <w:sz w:val="44"/>
                <w:szCs w:val="44"/>
                <w:lang w:bidi="x-none"/>
              </w:rPr>
            </w:pPr>
          </w:p>
          <w:p w14:paraId="45236ED0" w14:textId="77777777" w:rsidR="00BD5CB1" w:rsidRPr="00482BE9" w:rsidRDefault="00BD5CB1" w:rsidP="00482BE9">
            <w:pPr>
              <w:rPr>
                <w:rFonts w:cstheme="minorHAnsi"/>
                <w:sz w:val="32"/>
                <w:szCs w:val="32"/>
                <w:lang w:bidi="x-none"/>
              </w:rPr>
            </w:pPr>
            <w:r w:rsidRPr="00482BE9">
              <w:rPr>
                <w:rFonts w:cstheme="minorHAnsi"/>
                <w:sz w:val="32"/>
                <w:szCs w:val="32"/>
                <w:lang w:bidi="x-none"/>
              </w:rPr>
              <w:t xml:space="preserve">Once completed send to; </w:t>
            </w:r>
            <w:hyperlink r:id="rId7" w:history="1">
              <w:r w:rsidRPr="00482BE9">
                <w:rPr>
                  <w:rFonts w:cstheme="minorHAnsi"/>
                  <w:color w:val="0000FF"/>
                  <w:sz w:val="32"/>
                  <w:szCs w:val="32"/>
                  <w:u w:val="single"/>
                  <w:lang w:bidi="x-none"/>
                </w:rPr>
                <w:t>Jonathan.stocker@cornwall.gov.uk</w:t>
              </w:r>
            </w:hyperlink>
          </w:p>
          <w:p w14:paraId="0410A4EA" w14:textId="652A59F3" w:rsidR="00BD5CB1" w:rsidRPr="00482BE9" w:rsidRDefault="00BD5CB1" w:rsidP="00482BE9">
            <w:pPr>
              <w:rPr>
                <w:rFonts w:cstheme="minorHAnsi"/>
                <w:sz w:val="32"/>
                <w:szCs w:val="32"/>
                <w:lang w:bidi="x-none"/>
              </w:rPr>
            </w:pPr>
          </w:p>
        </w:tc>
      </w:tr>
    </w:tbl>
    <w:p w14:paraId="6A5A0BD6" w14:textId="77777777" w:rsidR="00BD5CB1" w:rsidRPr="0044586E" w:rsidRDefault="00BD5CB1">
      <w:pPr>
        <w:rPr>
          <w:rFonts w:cstheme="minorHAnsi"/>
          <w:sz w:val="26"/>
          <w:szCs w:val="26"/>
        </w:rPr>
      </w:pPr>
    </w:p>
    <w:p w14:paraId="1B84F646" w14:textId="77777777" w:rsidR="00BD5CB1" w:rsidRPr="0044586E" w:rsidRDefault="00BD5CB1">
      <w:pPr>
        <w:rPr>
          <w:rFonts w:cstheme="minorHAnsi"/>
          <w:sz w:val="26"/>
          <w:szCs w:val="26"/>
        </w:rPr>
      </w:pPr>
    </w:p>
    <w:p w14:paraId="56E893A0" w14:textId="77777777" w:rsidR="00BD5CB1" w:rsidRPr="0044586E" w:rsidRDefault="00BD5CB1">
      <w:pPr>
        <w:rPr>
          <w:rFonts w:cstheme="minorHAnsi"/>
          <w:sz w:val="26"/>
          <w:szCs w:val="26"/>
        </w:rPr>
      </w:pPr>
    </w:p>
    <w:p w14:paraId="337443CF" w14:textId="77777777" w:rsidR="00BD5CB1" w:rsidRPr="0044586E" w:rsidRDefault="00BD5CB1">
      <w:pPr>
        <w:rPr>
          <w:rFonts w:cstheme="minorHAnsi"/>
          <w:sz w:val="26"/>
          <w:szCs w:val="26"/>
        </w:rPr>
      </w:pPr>
    </w:p>
    <w:p w14:paraId="0E5A1825" w14:textId="77777777" w:rsidR="00BD5CB1" w:rsidRPr="0044586E" w:rsidRDefault="00BD5CB1">
      <w:pPr>
        <w:rPr>
          <w:rFonts w:cstheme="minorHAnsi"/>
          <w:sz w:val="26"/>
          <w:szCs w:val="26"/>
        </w:rPr>
      </w:pPr>
    </w:p>
    <w:p w14:paraId="315D02E8" w14:textId="77777777" w:rsidR="00BD5CB1" w:rsidRPr="0044586E" w:rsidRDefault="00BD5CB1">
      <w:pPr>
        <w:rPr>
          <w:rFonts w:cstheme="minorHAnsi"/>
          <w:sz w:val="26"/>
          <w:szCs w:val="26"/>
        </w:rPr>
      </w:pPr>
    </w:p>
    <w:p w14:paraId="5845525A" w14:textId="77777777" w:rsidR="00BD5CB1" w:rsidRPr="0044586E" w:rsidRDefault="00BD5CB1">
      <w:pPr>
        <w:rPr>
          <w:rFonts w:cstheme="minorHAnsi"/>
          <w:sz w:val="26"/>
          <w:szCs w:val="26"/>
        </w:rPr>
      </w:pPr>
    </w:p>
    <w:p w14:paraId="767518E3" w14:textId="77777777" w:rsidR="00BD5CB1" w:rsidRPr="0044586E" w:rsidRDefault="00BD5CB1">
      <w:pPr>
        <w:rPr>
          <w:rFonts w:cstheme="minorHAnsi"/>
          <w:sz w:val="26"/>
          <w:szCs w:val="26"/>
        </w:rPr>
      </w:pPr>
    </w:p>
    <w:p w14:paraId="0A90A4AF" w14:textId="77777777" w:rsidR="00BD5CB1" w:rsidRDefault="00BD5CB1" w:rsidP="0078317B">
      <w:pPr>
        <w:spacing w:before="120" w:after="0" w:line="240" w:lineRule="auto"/>
        <w:rPr>
          <w:rFonts w:cstheme="minorHAnsi"/>
          <w:b/>
          <w:bCs/>
          <w:sz w:val="28"/>
          <w:szCs w:val="28"/>
          <w:highlight w:val="yellow"/>
        </w:rPr>
      </w:pPr>
    </w:p>
    <w:p w14:paraId="7F952DE8" w14:textId="77777777" w:rsidR="00BD5CB1" w:rsidRDefault="00BD5CB1" w:rsidP="0078317B">
      <w:pPr>
        <w:spacing w:before="120" w:after="0" w:line="240" w:lineRule="auto"/>
        <w:rPr>
          <w:rFonts w:cstheme="minorHAnsi"/>
          <w:b/>
          <w:bCs/>
          <w:sz w:val="28"/>
          <w:szCs w:val="28"/>
          <w:highlight w:val="yellow"/>
        </w:rPr>
      </w:pPr>
    </w:p>
    <w:p w14:paraId="709AF5DE" w14:textId="77777777" w:rsidR="00BD5CB1" w:rsidRDefault="00BD5CB1" w:rsidP="0078317B">
      <w:pPr>
        <w:spacing w:before="120" w:after="0" w:line="240" w:lineRule="auto"/>
        <w:rPr>
          <w:rFonts w:cstheme="minorHAnsi"/>
          <w:b/>
          <w:bCs/>
          <w:sz w:val="28"/>
          <w:szCs w:val="28"/>
          <w:highlight w:val="yellow"/>
        </w:rPr>
      </w:pPr>
    </w:p>
    <w:p w14:paraId="72C5435A" w14:textId="77777777" w:rsidR="00BD5CB1" w:rsidRDefault="00BD5CB1" w:rsidP="0078317B">
      <w:pPr>
        <w:spacing w:before="120" w:after="0" w:line="240" w:lineRule="auto"/>
        <w:rPr>
          <w:rFonts w:cstheme="minorHAnsi"/>
          <w:b/>
          <w:bCs/>
          <w:sz w:val="28"/>
          <w:szCs w:val="28"/>
          <w:highlight w:val="yellow"/>
        </w:rPr>
      </w:pPr>
    </w:p>
    <w:p w14:paraId="26605818" w14:textId="5DA9F621" w:rsidR="0078317B" w:rsidRPr="0078317B" w:rsidRDefault="00145B88" w:rsidP="0078317B">
      <w:pPr>
        <w:spacing w:before="120" w:after="0" w:line="240" w:lineRule="auto"/>
        <w:rPr>
          <w:rFonts w:cstheme="minorHAnsi"/>
          <w:b/>
          <w:bCs/>
          <w:sz w:val="28"/>
          <w:szCs w:val="28"/>
          <w:highlight w:val="yellow"/>
        </w:rPr>
      </w:pPr>
      <w:r>
        <w:rPr>
          <w:rFonts w:cstheme="minorHAnsi"/>
          <w:b/>
          <w:bCs/>
          <w:sz w:val="28"/>
          <w:szCs w:val="28"/>
          <w:highlight w:val="yellow"/>
        </w:rPr>
        <w:t>Inclusion Checklist</w:t>
      </w:r>
      <w:r w:rsidR="0078317B" w:rsidRPr="0078317B">
        <w:rPr>
          <w:rFonts w:cstheme="minorHAnsi"/>
          <w:b/>
          <w:bCs/>
          <w:sz w:val="28"/>
          <w:szCs w:val="28"/>
          <w:highlight w:val="yellow"/>
        </w:rPr>
        <w:t xml:space="preserve"> – checklist of expectations</w:t>
      </w:r>
    </w:p>
    <w:p w14:paraId="66C94AA6" w14:textId="11E8817F" w:rsidR="0084566C" w:rsidRPr="0078317B" w:rsidRDefault="0084566C">
      <w:pPr>
        <w:rPr>
          <w:b/>
          <w:bCs/>
          <w:sz w:val="28"/>
          <w:szCs w:val="28"/>
        </w:rPr>
      </w:pPr>
    </w:p>
    <w:tbl>
      <w:tblPr>
        <w:tblStyle w:val="TableGrid"/>
        <w:tblW w:w="10201" w:type="dxa"/>
        <w:tblLook w:val="04A0" w:firstRow="1" w:lastRow="0" w:firstColumn="1" w:lastColumn="0" w:noHBand="0" w:noVBand="1"/>
      </w:tblPr>
      <w:tblGrid>
        <w:gridCol w:w="5460"/>
        <w:gridCol w:w="1820"/>
        <w:gridCol w:w="2921"/>
      </w:tblGrid>
      <w:tr w:rsidR="007A080D" w14:paraId="549F34FA" w14:textId="77777777" w:rsidTr="00C1537E">
        <w:trPr>
          <w:trHeight w:val="490"/>
        </w:trPr>
        <w:tc>
          <w:tcPr>
            <w:tcW w:w="10201" w:type="dxa"/>
            <w:gridSpan w:val="3"/>
            <w:tcBorders>
              <w:top w:val="nil"/>
              <w:left w:val="nil"/>
              <w:right w:val="nil"/>
            </w:tcBorders>
          </w:tcPr>
          <w:p w14:paraId="16F1C855" w14:textId="29AD6B96" w:rsidR="007A080D" w:rsidRPr="007A080D" w:rsidRDefault="0084566C" w:rsidP="007A080D">
            <w:pPr>
              <w:jc w:val="center"/>
              <w:rPr>
                <w:b/>
                <w:bCs/>
                <w:sz w:val="28"/>
                <w:szCs w:val="28"/>
              </w:rPr>
            </w:pPr>
            <w:r>
              <w:rPr>
                <w:b/>
                <w:bCs/>
                <w:sz w:val="28"/>
                <w:szCs w:val="28"/>
              </w:rPr>
              <w:t>1.</w:t>
            </w:r>
            <w:r w:rsidR="007A080D" w:rsidRPr="007A080D">
              <w:rPr>
                <w:b/>
                <w:bCs/>
                <w:sz w:val="28"/>
                <w:szCs w:val="28"/>
              </w:rPr>
              <w:t>Reasonable adjustments</w:t>
            </w:r>
          </w:p>
        </w:tc>
      </w:tr>
      <w:tr w:rsidR="007A080D" w:rsidRPr="00AF0890" w14:paraId="57E2A509" w14:textId="77777777" w:rsidTr="00544432">
        <w:trPr>
          <w:trHeight w:val="807"/>
        </w:trPr>
        <w:tc>
          <w:tcPr>
            <w:tcW w:w="5460" w:type="dxa"/>
          </w:tcPr>
          <w:p w14:paraId="4B7D294F" w14:textId="77777777" w:rsidR="007A080D" w:rsidRPr="00AF0890" w:rsidRDefault="007A080D">
            <w:pPr>
              <w:rPr>
                <w:sz w:val="20"/>
                <w:szCs w:val="20"/>
              </w:rPr>
            </w:pPr>
          </w:p>
        </w:tc>
        <w:tc>
          <w:tcPr>
            <w:tcW w:w="1820" w:type="dxa"/>
          </w:tcPr>
          <w:p w14:paraId="1BA6923E" w14:textId="09C1369F" w:rsidR="007A080D" w:rsidRPr="00AF0890" w:rsidRDefault="00AF0890">
            <w:pPr>
              <w:rPr>
                <w:sz w:val="20"/>
                <w:szCs w:val="20"/>
              </w:rPr>
            </w:pPr>
            <w:r w:rsidRPr="00AF0890">
              <w:rPr>
                <w:sz w:val="20"/>
                <w:szCs w:val="20"/>
              </w:rPr>
              <w:t>What does this look like.</w:t>
            </w:r>
          </w:p>
        </w:tc>
        <w:tc>
          <w:tcPr>
            <w:tcW w:w="2921" w:type="dxa"/>
          </w:tcPr>
          <w:p w14:paraId="6045267E" w14:textId="75A199C3" w:rsidR="00F417FE" w:rsidRPr="00A2358B" w:rsidRDefault="00045B19">
            <w:pPr>
              <w:rPr>
                <w:color w:val="215E99" w:themeColor="text2" w:themeTint="BF"/>
                <w:sz w:val="20"/>
                <w:szCs w:val="20"/>
              </w:rPr>
            </w:pPr>
            <w:r>
              <w:rPr>
                <w:color w:val="215E99" w:themeColor="text2" w:themeTint="BF"/>
                <w:sz w:val="20"/>
                <w:szCs w:val="20"/>
              </w:rPr>
              <w:t xml:space="preserve">Strategies put in place </w:t>
            </w:r>
            <w:r w:rsidR="00D857B9">
              <w:rPr>
                <w:color w:val="215E99" w:themeColor="text2" w:themeTint="BF"/>
                <w:sz w:val="20"/>
                <w:szCs w:val="20"/>
              </w:rPr>
              <w:t>by the school and their impact.</w:t>
            </w:r>
          </w:p>
        </w:tc>
      </w:tr>
      <w:tr w:rsidR="00130235" w:rsidRPr="00AF0890" w14:paraId="0AB06457" w14:textId="77777777" w:rsidTr="00C1537E">
        <w:trPr>
          <w:trHeight w:val="2569"/>
        </w:trPr>
        <w:tc>
          <w:tcPr>
            <w:tcW w:w="5460" w:type="dxa"/>
            <w:tcBorders>
              <w:bottom w:val="single" w:sz="4" w:space="0" w:color="auto"/>
            </w:tcBorders>
            <w:shd w:val="clear" w:color="auto" w:fill="D9F2D0" w:themeFill="accent6" w:themeFillTint="33"/>
          </w:tcPr>
          <w:p w14:paraId="0B307AEA" w14:textId="4DE00BB6" w:rsidR="00130235" w:rsidRPr="00AF0890" w:rsidRDefault="00130235">
            <w:pPr>
              <w:rPr>
                <w:sz w:val="20"/>
                <w:szCs w:val="20"/>
              </w:rPr>
            </w:pPr>
            <w:r w:rsidRPr="00AF0890">
              <w:rPr>
                <w:sz w:val="20"/>
                <w:szCs w:val="20"/>
              </w:rPr>
              <w:t xml:space="preserve">Schools must also ensure that any provision, criterion, or practice does not discriminate against pupils by unfairly increasing their risk of exclusion. For example, if reasonable adjustments have not been made for a pupil with a disability that can manifest itself in breaches of school rules if needs are not met, a decision to exclude may be discriminatory </w:t>
            </w:r>
            <w:r w:rsidRPr="006A5762">
              <w:rPr>
                <w:color w:val="BF4E14" w:themeColor="accent2" w:themeShade="BF"/>
                <w:sz w:val="20"/>
                <w:szCs w:val="20"/>
              </w:rPr>
              <w:t>(DfE,</w:t>
            </w:r>
            <w:r w:rsidR="00CE2CBB" w:rsidRPr="006A5762">
              <w:rPr>
                <w:color w:val="BF4E14" w:themeColor="accent2" w:themeShade="BF"/>
                <w:sz w:val="20"/>
                <w:szCs w:val="20"/>
              </w:rPr>
              <w:t xml:space="preserve"> Suspension and Permanent </w:t>
            </w:r>
            <w:r w:rsidR="00DF5BA3" w:rsidRPr="006A5762">
              <w:rPr>
                <w:color w:val="BF4E14" w:themeColor="accent2" w:themeShade="BF"/>
                <w:sz w:val="20"/>
                <w:szCs w:val="20"/>
              </w:rPr>
              <w:t>exclusion in schools</w:t>
            </w:r>
            <w:r w:rsidRPr="006A5762">
              <w:rPr>
                <w:color w:val="BF4E14" w:themeColor="accent2" w:themeShade="BF"/>
                <w:sz w:val="20"/>
                <w:szCs w:val="20"/>
              </w:rPr>
              <w:t xml:space="preserve"> 2024, p.10).</w:t>
            </w:r>
          </w:p>
        </w:tc>
        <w:tc>
          <w:tcPr>
            <w:tcW w:w="1820" w:type="dxa"/>
            <w:tcBorders>
              <w:bottom w:val="single" w:sz="4" w:space="0" w:color="auto"/>
            </w:tcBorders>
            <w:shd w:val="clear" w:color="auto" w:fill="D9F2D0" w:themeFill="accent6" w:themeFillTint="33"/>
          </w:tcPr>
          <w:p w14:paraId="19B518A4" w14:textId="27400052" w:rsidR="00130235" w:rsidRDefault="00130235">
            <w:pPr>
              <w:rPr>
                <w:sz w:val="20"/>
                <w:szCs w:val="20"/>
              </w:rPr>
            </w:pPr>
            <w:r>
              <w:rPr>
                <w:sz w:val="20"/>
                <w:szCs w:val="20"/>
              </w:rPr>
              <w:t>Adaptions.</w:t>
            </w:r>
          </w:p>
          <w:p w14:paraId="2A3C69CC" w14:textId="77777777" w:rsidR="00130235" w:rsidRDefault="00130235">
            <w:pPr>
              <w:rPr>
                <w:sz w:val="20"/>
                <w:szCs w:val="20"/>
              </w:rPr>
            </w:pPr>
            <w:r>
              <w:rPr>
                <w:sz w:val="20"/>
                <w:szCs w:val="20"/>
              </w:rPr>
              <w:t>Timetables</w:t>
            </w:r>
          </w:p>
          <w:p w14:paraId="003FB2D9" w14:textId="77777777" w:rsidR="00130235" w:rsidRDefault="00130235">
            <w:pPr>
              <w:rPr>
                <w:sz w:val="20"/>
                <w:szCs w:val="20"/>
              </w:rPr>
            </w:pPr>
            <w:r>
              <w:rPr>
                <w:sz w:val="20"/>
                <w:szCs w:val="20"/>
              </w:rPr>
              <w:t>Classroom</w:t>
            </w:r>
          </w:p>
          <w:p w14:paraId="2C4A8A68" w14:textId="77777777" w:rsidR="00130235" w:rsidRDefault="00130235">
            <w:pPr>
              <w:rPr>
                <w:sz w:val="20"/>
                <w:szCs w:val="20"/>
              </w:rPr>
            </w:pPr>
            <w:r>
              <w:rPr>
                <w:sz w:val="20"/>
                <w:szCs w:val="20"/>
              </w:rPr>
              <w:t>Playtime</w:t>
            </w:r>
          </w:p>
          <w:p w14:paraId="3123227D" w14:textId="77777777" w:rsidR="00130235" w:rsidRDefault="00130235">
            <w:pPr>
              <w:rPr>
                <w:sz w:val="20"/>
                <w:szCs w:val="20"/>
              </w:rPr>
            </w:pPr>
            <w:r>
              <w:rPr>
                <w:sz w:val="20"/>
                <w:szCs w:val="20"/>
              </w:rPr>
              <w:t>Lunchtime</w:t>
            </w:r>
          </w:p>
          <w:p w14:paraId="1AABE3AE" w14:textId="77777777" w:rsidR="00130235" w:rsidRDefault="00130235">
            <w:pPr>
              <w:rPr>
                <w:sz w:val="20"/>
                <w:szCs w:val="20"/>
              </w:rPr>
            </w:pPr>
            <w:r>
              <w:rPr>
                <w:sz w:val="20"/>
                <w:szCs w:val="20"/>
              </w:rPr>
              <w:t>Uniform</w:t>
            </w:r>
          </w:p>
          <w:p w14:paraId="71A87284" w14:textId="77777777" w:rsidR="00130235" w:rsidRDefault="00130235">
            <w:pPr>
              <w:rPr>
                <w:sz w:val="20"/>
                <w:szCs w:val="20"/>
              </w:rPr>
            </w:pPr>
          </w:p>
          <w:p w14:paraId="6F9F19B8" w14:textId="77777777" w:rsidR="00130235" w:rsidRDefault="00130235">
            <w:pPr>
              <w:rPr>
                <w:sz w:val="20"/>
                <w:szCs w:val="20"/>
              </w:rPr>
            </w:pPr>
            <w:r>
              <w:rPr>
                <w:sz w:val="20"/>
                <w:szCs w:val="20"/>
              </w:rPr>
              <w:t>Parents views</w:t>
            </w:r>
          </w:p>
          <w:p w14:paraId="5DE80CD1" w14:textId="14A5E17E" w:rsidR="00130235" w:rsidRPr="00AF0890" w:rsidRDefault="00130235">
            <w:pPr>
              <w:rPr>
                <w:sz w:val="20"/>
                <w:szCs w:val="20"/>
              </w:rPr>
            </w:pPr>
            <w:r>
              <w:rPr>
                <w:sz w:val="20"/>
                <w:szCs w:val="20"/>
              </w:rPr>
              <w:t>(Is this a disability)</w:t>
            </w:r>
          </w:p>
        </w:tc>
        <w:tc>
          <w:tcPr>
            <w:tcW w:w="2921" w:type="dxa"/>
            <w:tcBorders>
              <w:bottom w:val="single" w:sz="4" w:space="0" w:color="auto"/>
            </w:tcBorders>
            <w:shd w:val="clear" w:color="auto" w:fill="D9F2D0" w:themeFill="accent6" w:themeFillTint="33"/>
          </w:tcPr>
          <w:p w14:paraId="2A409567" w14:textId="6811DA2E" w:rsidR="00130235" w:rsidRPr="00AC1C19" w:rsidRDefault="00130235">
            <w:pPr>
              <w:rPr>
                <w:color w:val="215E99" w:themeColor="text2" w:themeTint="BF"/>
                <w:sz w:val="20"/>
                <w:szCs w:val="20"/>
              </w:rPr>
            </w:pPr>
          </w:p>
        </w:tc>
      </w:tr>
      <w:tr w:rsidR="007A080D" w:rsidRPr="00AF0890" w14:paraId="53B09614" w14:textId="77777777" w:rsidTr="00C1537E">
        <w:trPr>
          <w:trHeight w:val="559"/>
        </w:trPr>
        <w:tc>
          <w:tcPr>
            <w:tcW w:w="10201" w:type="dxa"/>
            <w:gridSpan w:val="3"/>
            <w:tcBorders>
              <w:left w:val="nil"/>
              <w:right w:val="nil"/>
            </w:tcBorders>
          </w:tcPr>
          <w:p w14:paraId="77B77280" w14:textId="0C2E0DA6" w:rsidR="007A080D" w:rsidRPr="003B60AE" w:rsidRDefault="0084566C" w:rsidP="007A080D">
            <w:pPr>
              <w:jc w:val="center"/>
              <w:rPr>
                <w:b/>
                <w:bCs/>
                <w:sz w:val="28"/>
                <w:szCs w:val="28"/>
              </w:rPr>
            </w:pPr>
            <w:r w:rsidRPr="003B60AE">
              <w:rPr>
                <w:b/>
                <w:bCs/>
                <w:sz w:val="28"/>
                <w:szCs w:val="28"/>
              </w:rPr>
              <w:t xml:space="preserve"> 2.</w:t>
            </w:r>
            <w:r w:rsidR="007A080D" w:rsidRPr="003B60AE">
              <w:rPr>
                <w:b/>
                <w:bCs/>
                <w:sz w:val="28"/>
                <w:szCs w:val="28"/>
              </w:rPr>
              <w:t>In School Support and the identification of Need</w:t>
            </w:r>
          </w:p>
        </w:tc>
      </w:tr>
      <w:tr w:rsidR="00AF0890" w:rsidRPr="00AF0890" w14:paraId="45D1EC6B" w14:textId="77777777" w:rsidTr="00914FE5">
        <w:trPr>
          <w:trHeight w:val="807"/>
        </w:trPr>
        <w:tc>
          <w:tcPr>
            <w:tcW w:w="5460" w:type="dxa"/>
            <w:shd w:val="clear" w:color="auto" w:fill="DAE9F7" w:themeFill="text2" w:themeFillTint="1A"/>
          </w:tcPr>
          <w:p w14:paraId="18E5427B" w14:textId="77777777" w:rsidR="00AF0890" w:rsidRDefault="00AF0890">
            <w:pPr>
              <w:rPr>
                <w:sz w:val="20"/>
                <w:szCs w:val="20"/>
              </w:rPr>
            </w:pPr>
            <w:r w:rsidRPr="00AF0890">
              <w:rPr>
                <w:sz w:val="20"/>
                <w:szCs w:val="20"/>
              </w:rPr>
              <w:t>Schools need to manage pupil behaviour effectively, whether or not the pupil has underlying needs. When a pupil is identified as having SEND, the graduated approach should be used to assess, plan, deliver and then review the impact of the support being provided</w:t>
            </w:r>
          </w:p>
          <w:p w14:paraId="3E6FA2B8" w14:textId="2403199D" w:rsidR="007C5160" w:rsidRPr="005F31E2" w:rsidRDefault="005F31E2">
            <w:pPr>
              <w:rPr>
                <w:color w:val="BF4E14" w:themeColor="accent2" w:themeShade="BF"/>
                <w:sz w:val="20"/>
                <w:szCs w:val="20"/>
              </w:rPr>
            </w:pPr>
            <w:r w:rsidRPr="005F31E2">
              <w:rPr>
                <w:color w:val="BF4E14" w:themeColor="accent2" w:themeShade="BF"/>
                <w:sz w:val="20"/>
                <w:szCs w:val="20"/>
              </w:rPr>
              <w:t>(</w:t>
            </w:r>
            <w:r w:rsidR="00920B99" w:rsidRPr="005F31E2">
              <w:rPr>
                <w:color w:val="BF4E14" w:themeColor="accent2" w:themeShade="BF"/>
                <w:sz w:val="20"/>
                <w:szCs w:val="20"/>
              </w:rPr>
              <w:t xml:space="preserve">DFE, </w:t>
            </w:r>
            <w:r w:rsidR="007C5160" w:rsidRPr="005F31E2">
              <w:rPr>
                <w:color w:val="BF4E14" w:themeColor="accent2" w:themeShade="BF"/>
                <w:sz w:val="20"/>
                <w:szCs w:val="20"/>
              </w:rPr>
              <w:t>Behaviour in Schools, Feb 2024</w:t>
            </w:r>
            <w:r w:rsidR="00920B99" w:rsidRPr="005F31E2">
              <w:rPr>
                <w:color w:val="BF4E14" w:themeColor="accent2" w:themeShade="BF"/>
                <w:sz w:val="20"/>
                <w:szCs w:val="20"/>
              </w:rPr>
              <w:t xml:space="preserve"> p.14</w:t>
            </w:r>
            <w:r w:rsidRPr="005F31E2">
              <w:rPr>
                <w:color w:val="BF4E14" w:themeColor="accent2" w:themeShade="BF"/>
                <w:sz w:val="20"/>
                <w:szCs w:val="20"/>
              </w:rPr>
              <w:t>)</w:t>
            </w:r>
          </w:p>
          <w:p w14:paraId="48D9E005" w14:textId="110007B1" w:rsidR="006A5762" w:rsidRPr="00AF0890" w:rsidRDefault="006A5762">
            <w:pPr>
              <w:rPr>
                <w:sz w:val="20"/>
                <w:szCs w:val="20"/>
              </w:rPr>
            </w:pPr>
          </w:p>
        </w:tc>
        <w:tc>
          <w:tcPr>
            <w:tcW w:w="1820" w:type="dxa"/>
            <w:shd w:val="clear" w:color="auto" w:fill="DAE9F7" w:themeFill="text2" w:themeFillTint="1A"/>
          </w:tcPr>
          <w:p w14:paraId="2CB77B08" w14:textId="77777777" w:rsidR="00AF0890" w:rsidRDefault="004A3173">
            <w:pPr>
              <w:rPr>
                <w:sz w:val="20"/>
                <w:szCs w:val="20"/>
              </w:rPr>
            </w:pPr>
            <w:r>
              <w:rPr>
                <w:sz w:val="20"/>
                <w:szCs w:val="20"/>
              </w:rPr>
              <w:t xml:space="preserve">Graduated response </w:t>
            </w:r>
            <w:r w:rsidR="00446405">
              <w:rPr>
                <w:sz w:val="20"/>
                <w:szCs w:val="20"/>
              </w:rPr>
              <w:t>too</w:t>
            </w:r>
          </w:p>
          <w:p w14:paraId="3F373231" w14:textId="77777777" w:rsidR="00446405" w:rsidRDefault="00446405">
            <w:pPr>
              <w:rPr>
                <w:sz w:val="20"/>
                <w:szCs w:val="20"/>
              </w:rPr>
            </w:pPr>
            <w:r>
              <w:rPr>
                <w:sz w:val="20"/>
                <w:szCs w:val="20"/>
              </w:rPr>
              <w:t>Plan do review cycles</w:t>
            </w:r>
          </w:p>
          <w:p w14:paraId="6973F3BC" w14:textId="1EA1008B" w:rsidR="00446405" w:rsidRPr="00AF0890" w:rsidRDefault="00446405">
            <w:pPr>
              <w:rPr>
                <w:sz w:val="20"/>
                <w:szCs w:val="20"/>
              </w:rPr>
            </w:pPr>
            <w:r>
              <w:rPr>
                <w:sz w:val="20"/>
                <w:szCs w:val="20"/>
              </w:rPr>
              <w:t>ILPs/IBP</w:t>
            </w:r>
          </w:p>
        </w:tc>
        <w:tc>
          <w:tcPr>
            <w:tcW w:w="2921" w:type="dxa"/>
            <w:shd w:val="clear" w:color="auto" w:fill="DAE9F7" w:themeFill="text2" w:themeFillTint="1A"/>
          </w:tcPr>
          <w:p w14:paraId="205A5DEC" w14:textId="24AA914D" w:rsidR="006013CA" w:rsidRPr="002612B5" w:rsidRDefault="006013CA">
            <w:pPr>
              <w:rPr>
                <w:color w:val="215E99" w:themeColor="text2" w:themeTint="BF"/>
                <w:sz w:val="20"/>
                <w:szCs w:val="20"/>
              </w:rPr>
            </w:pPr>
          </w:p>
        </w:tc>
      </w:tr>
      <w:tr w:rsidR="00AF0890" w:rsidRPr="00AF0890" w14:paraId="395D9D0E" w14:textId="77777777" w:rsidTr="00914FE5">
        <w:trPr>
          <w:trHeight w:val="807"/>
        </w:trPr>
        <w:tc>
          <w:tcPr>
            <w:tcW w:w="5460" w:type="dxa"/>
            <w:shd w:val="clear" w:color="auto" w:fill="DAE9F7" w:themeFill="text2" w:themeFillTint="1A"/>
          </w:tcPr>
          <w:p w14:paraId="14636C5C" w14:textId="77777777" w:rsidR="00AF0890" w:rsidRDefault="00AF0890">
            <w:pPr>
              <w:rPr>
                <w:sz w:val="20"/>
                <w:szCs w:val="20"/>
              </w:rPr>
            </w:pPr>
            <w:r w:rsidRPr="00AF0890">
              <w:rPr>
                <w:sz w:val="20"/>
                <w:szCs w:val="20"/>
              </w:rPr>
              <w:t>Some behaviours are more likely be associated with particular types of SEND, such as a pupil with speech, language and communication needs who may not understand a verbal instruction</w:t>
            </w:r>
          </w:p>
          <w:p w14:paraId="29B2CFEE" w14:textId="54D57C94" w:rsidR="0058342E" w:rsidRPr="00AF0890" w:rsidRDefault="0058342E">
            <w:pPr>
              <w:rPr>
                <w:sz w:val="20"/>
                <w:szCs w:val="20"/>
              </w:rPr>
            </w:pPr>
            <w:r w:rsidRPr="005F31E2">
              <w:rPr>
                <w:color w:val="BF4E14" w:themeColor="accent2" w:themeShade="BF"/>
                <w:sz w:val="20"/>
                <w:szCs w:val="20"/>
              </w:rPr>
              <w:t>(DFE, Behaviour in Schools, Feb 2024 p.1</w:t>
            </w:r>
            <w:r w:rsidR="00234BF0">
              <w:rPr>
                <w:color w:val="BF4E14" w:themeColor="accent2" w:themeShade="BF"/>
                <w:sz w:val="20"/>
                <w:szCs w:val="20"/>
              </w:rPr>
              <w:t>3</w:t>
            </w:r>
            <w:r w:rsidRPr="005F31E2">
              <w:rPr>
                <w:color w:val="BF4E14" w:themeColor="accent2" w:themeShade="BF"/>
                <w:sz w:val="20"/>
                <w:szCs w:val="20"/>
              </w:rPr>
              <w:t>)</w:t>
            </w:r>
          </w:p>
        </w:tc>
        <w:tc>
          <w:tcPr>
            <w:tcW w:w="1820" w:type="dxa"/>
            <w:shd w:val="clear" w:color="auto" w:fill="DAE9F7" w:themeFill="text2" w:themeFillTint="1A"/>
          </w:tcPr>
          <w:p w14:paraId="4BDF9D73" w14:textId="4064563E" w:rsidR="00AF0890" w:rsidRPr="00AF0890" w:rsidRDefault="004A370F">
            <w:pPr>
              <w:rPr>
                <w:sz w:val="20"/>
                <w:szCs w:val="20"/>
              </w:rPr>
            </w:pPr>
            <w:r>
              <w:rPr>
                <w:sz w:val="20"/>
                <w:szCs w:val="20"/>
              </w:rPr>
              <w:t>Curriculum adaptions</w:t>
            </w:r>
          </w:p>
        </w:tc>
        <w:tc>
          <w:tcPr>
            <w:tcW w:w="2921" w:type="dxa"/>
            <w:shd w:val="clear" w:color="auto" w:fill="DAE9F7" w:themeFill="text2" w:themeFillTint="1A"/>
          </w:tcPr>
          <w:p w14:paraId="5CA82343" w14:textId="790B266A" w:rsidR="0072113F" w:rsidRPr="002612B5" w:rsidRDefault="0072113F">
            <w:pPr>
              <w:rPr>
                <w:color w:val="215E99" w:themeColor="text2" w:themeTint="BF"/>
                <w:sz w:val="20"/>
                <w:szCs w:val="20"/>
              </w:rPr>
            </w:pPr>
          </w:p>
        </w:tc>
      </w:tr>
      <w:tr w:rsidR="00AF0890" w:rsidRPr="00AF0890" w14:paraId="0E429D5D" w14:textId="77777777" w:rsidTr="00914FE5">
        <w:trPr>
          <w:trHeight w:val="807"/>
        </w:trPr>
        <w:tc>
          <w:tcPr>
            <w:tcW w:w="5460" w:type="dxa"/>
            <w:shd w:val="clear" w:color="auto" w:fill="DAE9F7" w:themeFill="text2" w:themeFillTint="1A"/>
          </w:tcPr>
          <w:p w14:paraId="5CAF155A" w14:textId="77777777" w:rsidR="00AF0890" w:rsidRDefault="00AF0890">
            <w:pPr>
              <w:rPr>
                <w:sz w:val="20"/>
                <w:szCs w:val="20"/>
              </w:rPr>
            </w:pPr>
            <w:r w:rsidRPr="00AF0890">
              <w:rPr>
                <w:sz w:val="20"/>
                <w:szCs w:val="20"/>
              </w:rPr>
              <w:t>Where suspensions are becoming a regular occurrence for a pupil, headteachers and schools should consider whether suspension alone is an effective sanction for the pupil and whether additional strategies need to be put in place to address behaviour</w:t>
            </w:r>
          </w:p>
          <w:p w14:paraId="03CCDEB1" w14:textId="5B4E0130" w:rsidR="00B508F7" w:rsidRDefault="00B508F7">
            <w:pPr>
              <w:rPr>
                <w:sz w:val="20"/>
                <w:szCs w:val="20"/>
              </w:rPr>
            </w:pPr>
            <w:r w:rsidRPr="006A5762">
              <w:rPr>
                <w:color w:val="BF4E14" w:themeColor="accent2" w:themeShade="BF"/>
                <w:sz w:val="20"/>
                <w:szCs w:val="20"/>
              </w:rPr>
              <w:t>(DfE, Suspension and Permanent exclusion in schools 2024, p.1</w:t>
            </w:r>
            <w:r>
              <w:rPr>
                <w:color w:val="BF4E14" w:themeColor="accent2" w:themeShade="BF"/>
                <w:sz w:val="20"/>
                <w:szCs w:val="20"/>
              </w:rPr>
              <w:t>2</w:t>
            </w:r>
            <w:r w:rsidRPr="006A5762">
              <w:rPr>
                <w:color w:val="BF4E14" w:themeColor="accent2" w:themeShade="BF"/>
                <w:sz w:val="20"/>
                <w:szCs w:val="20"/>
              </w:rPr>
              <w:t>).</w:t>
            </w:r>
          </w:p>
          <w:p w14:paraId="779B0891" w14:textId="175FE702" w:rsidR="00C26F58" w:rsidRPr="00AF0890" w:rsidRDefault="00C26F58">
            <w:pPr>
              <w:rPr>
                <w:sz w:val="20"/>
                <w:szCs w:val="20"/>
              </w:rPr>
            </w:pPr>
          </w:p>
        </w:tc>
        <w:tc>
          <w:tcPr>
            <w:tcW w:w="1820" w:type="dxa"/>
            <w:shd w:val="clear" w:color="auto" w:fill="DAE9F7" w:themeFill="text2" w:themeFillTint="1A"/>
          </w:tcPr>
          <w:p w14:paraId="250B9246" w14:textId="02BEBB79" w:rsidR="00AF0890" w:rsidRDefault="00230483">
            <w:pPr>
              <w:rPr>
                <w:sz w:val="20"/>
                <w:szCs w:val="20"/>
              </w:rPr>
            </w:pPr>
            <w:r>
              <w:rPr>
                <w:sz w:val="20"/>
                <w:szCs w:val="20"/>
              </w:rPr>
              <w:t>Alternatives to suspension</w:t>
            </w:r>
          </w:p>
          <w:p w14:paraId="11A4898E" w14:textId="1182AB17" w:rsidR="00230483" w:rsidRPr="00AF0890" w:rsidRDefault="00230483">
            <w:pPr>
              <w:rPr>
                <w:sz w:val="20"/>
                <w:szCs w:val="20"/>
              </w:rPr>
            </w:pPr>
          </w:p>
        </w:tc>
        <w:tc>
          <w:tcPr>
            <w:tcW w:w="2921" w:type="dxa"/>
            <w:shd w:val="clear" w:color="auto" w:fill="DAE9F7" w:themeFill="text2" w:themeFillTint="1A"/>
          </w:tcPr>
          <w:p w14:paraId="703DCF32" w14:textId="3BCDAB2A" w:rsidR="00AF0890" w:rsidRPr="002612B5" w:rsidRDefault="00AF0890">
            <w:pPr>
              <w:rPr>
                <w:color w:val="215E99" w:themeColor="text2" w:themeTint="BF"/>
                <w:sz w:val="20"/>
                <w:szCs w:val="20"/>
              </w:rPr>
            </w:pPr>
          </w:p>
        </w:tc>
      </w:tr>
      <w:tr w:rsidR="00AF0890" w:rsidRPr="00AF0890" w14:paraId="5DEABB13" w14:textId="77777777" w:rsidTr="00075022">
        <w:trPr>
          <w:trHeight w:val="850"/>
        </w:trPr>
        <w:tc>
          <w:tcPr>
            <w:tcW w:w="5460" w:type="dxa"/>
            <w:tcBorders>
              <w:bottom w:val="single" w:sz="4" w:space="0" w:color="auto"/>
            </w:tcBorders>
            <w:shd w:val="clear" w:color="auto" w:fill="DAE9F7" w:themeFill="text2" w:themeFillTint="1A"/>
          </w:tcPr>
          <w:p w14:paraId="6DD14987" w14:textId="77777777" w:rsidR="002F33FC" w:rsidRDefault="000F2FBF">
            <w:pPr>
              <w:rPr>
                <w:sz w:val="20"/>
                <w:szCs w:val="20"/>
              </w:rPr>
            </w:pPr>
            <w:r w:rsidRPr="000F2FBF">
              <w:rPr>
                <w:sz w:val="20"/>
                <w:szCs w:val="20"/>
              </w:rPr>
              <w:t>Some pupils may require additional support to meet a school’s behaviour expectations. This support should be given consistently and predictably, applied fairly and only where necessary</w:t>
            </w:r>
            <w:r>
              <w:rPr>
                <w:sz w:val="20"/>
                <w:szCs w:val="20"/>
              </w:rPr>
              <w:t>.</w:t>
            </w:r>
          </w:p>
          <w:p w14:paraId="5FEE7C4C" w14:textId="486CABA0" w:rsidR="000F2FBF" w:rsidRPr="000F2FBF" w:rsidRDefault="000F2FBF">
            <w:pPr>
              <w:rPr>
                <w:sz w:val="20"/>
                <w:szCs w:val="20"/>
              </w:rPr>
            </w:pPr>
            <w:r>
              <w:rPr>
                <w:color w:val="BF4E14" w:themeColor="accent2" w:themeShade="BF"/>
                <w:sz w:val="20"/>
                <w:szCs w:val="20"/>
              </w:rPr>
              <w:t>(</w:t>
            </w:r>
            <w:r w:rsidRPr="005F31E2">
              <w:rPr>
                <w:color w:val="BF4E14" w:themeColor="accent2" w:themeShade="BF"/>
                <w:sz w:val="20"/>
                <w:szCs w:val="20"/>
              </w:rPr>
              <w:t>DFE, Behaviour in Schools, Feb 2024 p.1</w:t>
            </w:r>
            <w:r>
              <w:rPr>
                <w:color w:val="BF4E14" w:themeColor="accent2" w:themeShade="BF"/>
                <w:sz w:val="20"/>
                <w:szCs w:val="20"/>
              </w:rPr>
              <w:t>0</w:t>
            </w:r>
            <w:r w:rsidRPr="005F31E2">
              <w:rPr>
                <w:color w:val="BF4E14" w:themeColor="accent2" w:themeShade="BF"/>
                <w:sz w:val="20"/>
                <w:szCs w:val="20"/>
              </w:rPr>
              <w:t>)</w:t>
            </w:r>
          </w:p>
        </w:tc>
        <w:tc>
          <w:tcPr>
            <w:tcW w:w="1820" w:type="dxa"/>
            <w:tcBorders>
              <w:bottom w:val="single" w:sz="4" w:space="0" w:color="auto"/>
            </w:tcBorders>
            <w:shd w:val="clear" w:color="auto" w:fill="DAE9F7" w:themeFill="text2" w:themeFillTint="1A"/>
          </w:tcPr>
          <w:p w14:paraId="5B234EFE" w14:textId="42900C0D" w:rsidR="00AF0890" w:rsidRPr="00AF0890" w:rsidRDefault="000D053B">
            <w:pPr>
              <w:rPr>
                <w:sz w:val="20"/>
                <w:szCs w:val="20"/>
              </w:rPr>
            </w:pPr>
            <w:r>
              <w:rPr>
                <w:sz w:val="20"/>
                <w:szCs w:val="20"/>
              </w:rPr>
              <w:t>In school strategies</w:t>
            </w:r>
          </w:p>
        </w:tc>
        <w:tc>
          <w:tcPr>
            <w:tcW w:w="2921" w:type="dxa"/>
            <w:tcBorders>
              <w:bottom w:val="single" w:sz="4" w:space="0" w:color="auto"/>
            </w:tcBorders>
            <w:shd w:val="clear" w:color="auto" w:fill="DAE9F7" w:themeFill="text2" w:themeFillTint="1A"/>
          </w:tcPr>
          <w:p w14:paraId="749A48E0" w14:textId="77777777" w:rsidR="00AF0890" w:rsidRPr="002612B5" w:rsidRDefault="00AF0890">
            <w:pPr>
              <w:rPr>
                <w:color w:val="215E99" w:themeColor="text2" w:themeTint="BF"/>
                <w:sz w:val="20"/>
                <w:szCs w:val="20"/>
              </w:rPr>
            </w:pPr>
          </w:p>
        </w:tc>
      </w:tr>
      <w:tr w:rsidR="00AF0890" w:rsidRPr="00AF0890" w14:paraId="4E70ADB2" w14:textId="77777777" w:rsidTr="00075022">
        <w:trPr>
          <w:trHeight w:val="807"/>
        </w:trPr>
        <w:tc>
          <w:tcPr>
            <w:tcW w:w="5460" w:type="dxa"/>
            <w:tcBorders>
              <w:bottom w:val="single" w:sz="4" w:space="0" w:color="auto"/>
            </w:tcBorders>
            <w:shd w:val="clear" w:color="auto" w:fill="DAE9F7" w:themeFill="text2" w:themeFillTint="1A"/>
          </w:tcPr>
          <w:p w14:paraId="687147A7" w14:textId="77777777" w:rsidR="00AF0890" w:rsidRDefault="00AF0890">
            <w:pPr>
              <w:rPr>
                <w:sz w:val="20"/>
                <w:szCs w:val="20"/>
              </w:rPr>
            </w:pPr>
            <w:r w:rsidRPr="00AF0890">
              <w:rPr>
                <w:sz w:val="20"/>
                <w:szCs w:val="20"/>
              </w:rPr>
              <w:t>Schools should, as far as possible, anticipate likely triggers of misbehaviour and put in place support to prevent these</w:t>
            </w:r>
            <w:r w:rsidR="004F1828">
              <w:rPr>
                <w:sz w:val="20"/>
                <w:szCs w:val="20"/>
              </w:rPr>
              <w:t>.</w:t>
            </w:r>
          </w:p>
          <w:p w14:paraId="21F72970" w14:textId="7B23D891" w:rsidR="004F1828" w:rsidRPr="00AF0890" w:rsidRDefault="004F1828">
            <w:pPr>
              <w:rPr>
                <w:sz w:val="20"/>
                <w:szCs w:val="20"/>
              </w:rPr>
            </w:pPr>
            <w:r>
              <w:rPr>
                <w:color w:val="BF4E14" w:themeColor="accent2" w:themeShade="BF"/>
                <w:sz w:val="20"/>
                <w:szCs w:val="20"/>
              </w:rPr>
              <w:t>(</w:t>
            </w:r>
            <w:r w:rsidRPr="005F31E2">
              <w:rPr>
                <w:color w:val="BF4E14" w:themeColor="accent2" w:themeShade="BF"/>
                <w:sz w:val="20"/>
                <w:szCs w:val="20"/>
              </w:rPr>
              <w:t>DFE, Behaviour in Schools, Feb 2024 p.1</w:t>
            </w:r>
            <w:r>
              <w:rPr>
                <w:color w:val="BF4E14" w:themeColor="accent2" w:themeShade="BF"/>
                <w:sz w:val="20"/>
                <w:szCs w:val="20"/>
              </w:rPr>
              <w:t>4</w:t>
            </w:r>
            <w:r w:rsidRPr="005F31E2">
              <w:rPr>
                <w:color w:val="BF4E14" w:themeColor="accent2" w:themeShade="BF"/>
                <w:sz w:val="20"/>
                <w:szCs w:val="20"/>
              </w:rPr>
              <w:t>)</w:t>
            </w:r>
          </w:p>
        </w:tc>
        <w:tc>
          <w:tcPr>
            <w:tcW w:w="1820" w:type="dxa"/>
            <w:tcBorders>
              <w:bottom w:val="single" w:sz="4" w:space="0" w:color="auto"/>
            </w:tcBorders>
            <w:shd w:val="clear" w:color="auto" w:fill="DAE9F7" w:themeFill="text2" w:themeFillTint="1A"/>
          </w:tcPr>
          <w:p w14:paraId="21FD801C" w14:textId="430E5080" w:rsidR="00AF0890" w:rsidRPr="00AF0890" w:rsidRDefault="004A370F">
            <w:pPr>
              <w:rPr>
                <w:sz w:val="20"/>
                <w:szCs w:val="20"/>
              </w:rPr>
            </w:pPr>
            <w:r>
              <w:rPr>
                <w:sz w:val="20"/>
                <w:szCs w:val="20"/>
              </w:rPr>
              <w:t>Behaviour plans in place</w:t>
            </w:r>
          </w:p>
        </w:tc>
        <w:tc>
          <w:tcPr>
            <w:tcW w:w="2921" w:type="dxa"/>
            <w:tcBorders>
              <w:bottom w:val="single" w:sz="4" w:space="0" w:color="auto"/>
            </w:tcBorders>
            <w:shd w:val="clear" w:color="auto" w:fill="DAE9F7" w:themeFill="text2" w:themeFillTint="1A"/>
          </w:tcPr>
          <w:p w14:paraId="15288485" w14:textId="5C2C516F" w:rsidR="00AF0890" w:rsidRPr="002612B5" w:rsidRDefault="00AF0890">
            <w:pPr>
              <w:rPr>
                <w:color w:val="215E99" w:themeColor="text2" w:themeTint="BF"/>
                <w:sz w:val="20"/>
                <w:szCs w:val="20"/>
              </w:rPr>
            </w:pPr>
          </w:p>
        </w:tc>
      </w:tr>
      <w:tr w:rsidR="00AF0890" w:rsidRPr="00AF0890" w14:paraId="43D90A57" w14:textId="77777777" w:rsidTr="00075022">
        <w:trPr>
          <w:trHeight w:val="540"/>
        </w:trPr>
        <w:tc>
          <w:tcPr>
            <w:tcW w:w="10201" w:type="dxa"/>
            <w:gridSpan w:val="3"/>
            <w:tcBorders>
              <w:top w:val="single" w:sz="4" w:space="0" w:color="auto"/>
              <w:left w:val="nil"/>
              <w:bottom w:val="single" w:sz="4" w:space="0" w:color="auto"/>
              <w:right w:val="nil"/>
            </w:tcBorders>
          </w:tcPr>
          <w:p w14:paraId="38016A9E" w14:textId="77777777" w:rsidR="00EC24A4" w:rsidRDefault="00EC24A4" w:rsidP="00AF0890">
            <w:pPr>
              <w:jc w:val="center"/>
              <w:rPr>
                <w:b/>
                <w:bCs/>
                <w:sz w:val="28"/>
                <w:szCs w:val="28"/>
              </w:rPr>
            </w:pPr>
          </w:p>
          <w:p w14:paraId="7AB55E01" w14:textId="77777777" w:rsidR="00EC24A4" w:rsidRDefault="00EC24A4" w:rsidP="00AF0890">
            <w:pPr>
              <w:jc w:val="center"/>
              <w:rPr>
                <w:b/>
                <w:bCs/>
                <w:sz w:val="28"/>
                <w:szCs w:val="28"/>
              </w:rPr>
            </w:pPr>
          </w:p>
          <w:p w14:paraId="448ADAB7" w14:textId="77777777" w:rsidR="00EC24A4" w:rsidRDefault="00EC24A4" w:rsidP="00AF0890">
            <w:pPr>
              <w:jc w:val="center"/>
              <w:rPr>
                <w:b/>
                <w:bCs/>
                <w:sz w:val="28"/>
                <w:szCs w:val="28"/>
              </w:rPr>
            </w:pPr>
          </w:p>
          <w:p w14:paraId="6BD6A1D0" w14:textId="77777777" w:rsidR="00EC24A4" w:rsidRDefault="00EC24A4" w:rsidP="00AF0890">
            <w:pPr>
              <w:jc w:val="center"/>
              <w:rPr>
                <w:b/>
                <w:bCs/>
                <w:sz w:val="28"/>
                <w:szCs w:val="28"/>
              </w:rPr>
            </w:pPr>
          </w:p>
          <w:p w14:paraId="3BFF1518" w14:textId="35A3BD8D" w:rsidR="00AF0890" w:rsidRPr="003B60AE" w:rsidRDefault="00F40A92" w:rsidP="003A298F">
            <w:pPr>
              <w:rPr>
                <w:b/>
                <w:bCs/>
                <w:sz w:val="28"/>
                <w:szCs w:val="28"/>
              </w:rPr>
            </w:pPr>
            <w:r>
              <w:rPr>
                <w:b/>
                <w:bCs/>
                <w:sz w:val="28"/>
                <w:szCs w:val="28"/>
              </w:rPr>
              <w:t>3.</w:t>
            </w:r>
            <w:r w:rsidR="00563155">
              <w:rPr>
                <w:b/>
                <w:bCs/>
                <w:sz w:val="28"/>
                <w:szCs w:val="28"/>
              </w:rPr>
              <w:t xml:space="preserve"> Engaging Specialist </w:t>
            </w:r>
            <w:r w:rsidR="004C0B25">
              <w:rPr>
                <w:b/>
                <w:bCs/>
                <w:sz w:val="28"/>
                <w:szCs w:val="28"/>
              </w:rPr>
              <w:t xml:space="preserve">/ External </w:t>
            </w:r>
            <w:r w:rsidR="00563155">
              <w:rPr>
                <w:b/>
                <w:bCs/>
                <w:sz w:val="28"/>
                <w:szCs w:val="28"/>
              </w:rPr>
              <w:t>Support</w:t>
            </w:r>
          </w:p>
        </w:tc>
      </w:tr>
      <w:tr w:rsidR="001F238D" w:rsidRPr="00E0228D" w14:paraId="2CDB2E5C" w14:textId="77777777" w:rsidTr="00075022">
        <w:trPr>
          <w:trHeight w:val="807"/>
        </w:trPr>
        <w:tc>
          <w:tcPr>
            <w:tcW w:w="5460" w:type="dxa"/>
            <w:tcBorders>
              <w:top w:val="single" w:sz="4" w:space="0" w:color="auto"/>
            </w:tcBorders>
            <w:shd w:val="clear" w:color="auto" w:fill="F4FAD8"/>
          </w:tcPr>
          <w:p w14:paraId="5F118BED" w14:textId="6CC5DDEA" w:rsidR="001F238D" w:rsidRDefault="001F238D">
            <w:pPr>
              <w:rPr>
                <w:sz w:val="20"/>
                <w:szCs w:val="20"/>
              </w:rPr>
            </w:pPr>
            <w:r w:rsidRPr="00E0228D">
              <w:rPr>
                <w:sz w:val="20"/>
                <w:szCs w:val="20"/>
              </w:rPr>
              <w:lastRenderedPageBreak/>
              <w:t>Schools should engage proactively with parents in supporting the behaviour of pupils with additional needs.</w:t>
            </w:r>
          </w:p>
          <w:p w14:paraId="3F31E70D" w14:textId="45D5E76F" w:rsidR="001F238D" w:rsidRDefault="001F238D" w:rsidP="000A5812">
            <w:pPr>
              <w:rPr>
                <w:sz w:val="20"/>
                <w:szCs w:val="20"/>
              </w:rPr>
            </w:pPr>
            <w:r w:rsidRPr="006A5762">
              <w:rPr>
                <w:color w:val="BF4E14" w:themeColor="accent2" w:themeShade="BF"/>
                <w:sz w:val="20"/>
                <w:szCs w:val="20"/>
              </w:rPr>
              <w:t>(DfE, Suspension and Permanent exclusion in schools 2024, p.</w:t>
            </w:r>
            <w:r>
              <w:rPr>
                <w:color w:val="BF4E14" w:themeColor="accent2" w:themeShade="BF"/>
                <w:sz w:val="20"/>
                <w:szCs w:val="20"/>
              </w:rPr>
              <w:t>23</w:t>
            </w:r>
            <w:r w:rsidRPr="006A5762">
              <w:rPr>
                <w:color w:val="BF4E14" w:themeColor="accent2" w:themeShade="BF"/>
                <w:sz w:val="20"/>
                <w:szCs w:val="20"/>
              </w:rPr>
              <w:t>).</w:t>
            </w:r>
          </w:p>
          <w:p w14:paraId="7DE4CC99" w14:textId="75B8E737" w:rsidR="001F238D" w:rsidRPr="00E0228D" w:rsidRDefault="001F238D">
            <w:pPr>
              <w:rPr>
                <w:sz w:val="20"/>
                <w:szCs w:val="20"/>
              </w:rPr>
            </w:pPr>
          </w:p>
        </w:tc>
        <w:tc>
          <w:tcPr>
            <w:tcW w:w="1820" w:type="dxa"/>
            <w:vMerge w:val="restart"/>
            <w:tcBorders>
              <w:top w:val="single" w:sz="4" w:space="0" w:color="auto"/>
            </w:tcBorders>
            <w:shd w:val="clear" w:color="auto" w:fill="F4FAD8"/>
          </w:tcPr>
          <w:p w14:paraId="273EB77B" w14:textId="77777777" w:rsidR="001F238D" w:rsidRDefault="001F238D">
            <w:pPr>
              <w:rPr>
                <w:sz w:val="20"/>
                <w:szCs w:val="20"/>
              </w:rPr>
            </w:pPr>
            <w:r>
              <w:rPr>
                <w:sz w:val="20"/>
                <w:szCs w:val="20"/>
              </w:rPr>
              <w:t xml:space="preserve">Early Help </w:t>
            </w:r>
          </w:p>
          <w:p w14:paraId="07BDF2CE" w14:textId="77777777" w:rsidR="001F238D" w:rsidRDefault="001F238D">
            <w:pPr>
              <w:rPr>
                <w:sz w:val="20"/>
                <w:szCs w:val="20"/>
              </w:rPr>
            </w:pPr>
            <w:r>
              <w:rPr>
                <w:sz w:val="20"/>
                <w:szCs w:val="20"/>
              </w:rPr>
              <w:t>School nurse Team</w:t>
            </w:r>
          </w:p>
          <w:p w14:paraId="1B2097F7" w14:textId="77777777" w:rsidR="001F238D" w:rsidRPr="00E0228D" w:rsidRDefault="001F238D">
            <w:pPr>
              <w:rPr>
                <w:sz w:val="20"/>
                <w:szCs w:val="20"/>
              </w:rPr>
            </w:pPr>
            <w:r>
              <w:rPr>
                <w:sz w:val="20"/>
                <w:szCs w:val="20"/>
              </w:rPr>
              <w:t>Speech and language team</w:t>
            </w:r>
          </w:p>
          <w:p w14:paraId="4C72A8E9" w14:textId="77777777" w:rsidR="001F238D" w:rsidRDefault="001F238D">
            <w:pPr>
              <w:rPr>
                <w:sz w:val="20"/>
                <w:szCs w:val="20"/>
              </w:rPr>
            </w:pPr>
            <w:r>
              <w:rPr>
                <w:sz w:val="20"/>
                <w:szCs w:val="20"/>
              </w:rPr>
              <w:t>CAMHS</w:t>
            </w:r>
          </w:p>
          <w:p w14:paraId="65C6C5BD" w14:textId="77777777" w:rsidR="001F238D" w:rsidRDefault="001F238D">
            <w:pPr>
              <w:rPr>
                <w:sz w:val="20"/>
                <w:szCs w:val="20"/>
              </w:rPr>
            </w:pPr>
            <w:r>
              <w:rPr>
                <w:sz w:val="20"/>
                <w:szCs w:val="20"/>
              </w:rPr>
              <w:t>ASD team</w:t>
            </w:r>
          </w:p>
          <w:p w14:paraId="4D8A14CC" w14:textId="159CCE5C" w:rsidR="001F238D" w:rsidRPr="00E0228D" w:rsidRDefault="001F238D" w:rsidP="00A05AD6">
            <w:pPr>
              <w:rPr>
                <w:sz w:val="20"/>
                <w:szCs w:val="20"/>
              </w:rPr>
            </w:pPr>
            <w:r>
              <w:rPr>
                <w:sz w:val="20"/>
                <w:szCs w:val="20"/>
              </w:rPr>
              <w:t>SEND Team</w:t>
            </w:r>
          </w:p>
        </w:tc>
        <w:tc>
          <w:tcPr>
            <w:tcW w:w="2921" w:type="dxa"/>
            <w:tcBorders>
              <w:top w:val="single" w:sz="4" w:space="0" w:color="auto"/>
            </w:tcBorders>
            <w:shd w:val="clear" w:color="auto" w:fill="F4FAD8"/>
          </w:tcPr>
          <w:p w14:paraId="454CC2D5" w14:textId="5B791A0A" w:rsidR="001F238D" w:rsidRPr="00E0228D" w:rsidRDefault="001F238D">
            <w:pPr>
              <w:rPr>
                <w:sz w:val="20"/>
                <w:szCs w:val="20"/>
              </w:rPr>
            </w:pPr>
          </w:p>
        </w:tc>
      </w:tr>
      <w:tr w:rsidR="001F238D" w:rsidRPr="00E0228D" w14:paraId="7B74D1F5" w14:textId="77777777" w:rsidTr="00C1537E">
        <w:trPr>
          <w:trHeight w:val="807"/>
        </w:trPr>
        <w:tc>
          <w:tcPr>
            <w:tcW w:w="5460" w:type="dxa"/>
            <w:tcBorders>
              <w:bottom w:val="single" w:sz="4" w:space="0" w:color="auto"/>
            </w:tcBorders>
            <w:shd w:val="clear" w:color="auto" w:fill="F4FAD8"/>
          </w:tcPr>
          <w:p w14:paraId="54EEBA12" w14:textId="542BDC2E" w:rsidR="001F238D" w:rsidRPr="00E0228D" w:rsidRDefault="001F238D">
            <w:pPr>
              <w:rPr>
                <w:sz w:val="20"/>
                <w:szCs w:val="20"/>
              </w:rPr>
            </w:pPr>
            <w:r w:rsidRPr="00E0228D">
              <w:rPr>
                <w:sz w:val="20"/>
                <w:szCs w:val="20"/>
              </w:rPr>
              <w:t>Early intervention to address underlying causes of disruptive behaviour should include an assessment of whether appropriate provision is in place to support any SEN or disability that a pupil may have. The head teacher should also consider the use of a multi-agency assessment for a pupil who demonstrates persistent disruptive behaviour. Such assessments may pick up unidentified SEN, disability or mental health problems but the scope of the assessment could go further, for example, by seeking to identify housing or family problems (DFE 2018, p.19).</w:t>
            </w:r>
          </w:p>
        </w:tc>
        <w:tc>
          <w:tcPr>
            <w:tcW w:w="1820" w:type="dxa"/>
            <w:vMerge/>
            <w:tcBorders>
              <w:bottom w:val="single" w:sz="4" w:space="0" w:color="auto"/>
            </w:tcBorders>
            <w:shd w:val="clear" w:color="auto" w:fill="F4FAD8"/>
          </w:tcPr>
          <w:p w14:paraId="65652964" w14:textId="63E55CF9" w:rsidR="001F238D" w:rsidRPr="00E0228D" w:rsidRDefault="001F238D">
            <w:pPr>
              <w:rPr>
                <w:sz w:val="20"/>
                <w:szCs w:val="20"/>
              </w:rPr>
            </w:pPr>
          </w:p>
        </w:tc>
        <w:tc>
          <w:tcPr>
            <w:tcW w:w="2921" w:type="dxa"/>
            <w:tcBorders>
              <w:bottom w:val="single" w:sz="4" w:space="0" w:color="auto"/>
            </w:tcBorders>
            <w:shd w:val="clear" w:color="auto" w:fill="F4FAD8"/>
          </w:tcPr>
          <w:p w14:paraId="74F1CDE5" w14:textId="4FE8DC2E" w:rsidR="001F238D" w:rsidRPr="00E0228D" w:rsidRDefault="001F238D">
            <w:pPr>
              <w:rPr>
                <w:sz w:val="20"/>
                <w:szCs w:val="20"/>
              </w:rPr>
            </w:pPr>
          </w:p>
        </w:tc>
      </w:tr>
      <w:tr w:rsidR="00E0228D" w:rsidRPr="00AF0890" w14:paraId="7C9D3A92" w14:textId="77777777" w:rsidTr="00C1537E">
        <w:trPr>
          <w:trHeight w:val="504"/>
        </w:trPr>
        <w:tc>
          <w:tcPr>
            <w:tcW w:w="10201" w:type="dxa"/>
            <w:gridSpan w:val="3"/>
            <w:tcBorders>
              <w:left w:val="nil"/>
              <w:right w:val="nil"/>
            </w:tcBorders>
          </w:tcPr>
          <w:p w14:paraId="274E2990" w14:textId="4BB7CD1D" w:rsidR="00E0228D" w:rsidRPr="00E0228D" w:rsidRDefault="0084566C" w:rsidP="00E0228D">
            <w:pPr>
              <w:jc w:val="center"/>
              <w:rPr>
                <w:b/>
                <w:bCs/>
                <w:sz w:val="28"/>
                <w:szCs w:val="28"/>
              </w:rPr>
            </w:pPr>
            <w:r>
              <w:rPr>
                <w:b/>
                <w:bCs/>
                <w:sz w:val="28"/>
                <w:szCs w:val="28"/>
              </w:rPr>
              <w:t xml:space="preserve">4. </w:t>
            </w:r>
            <w:r w:rsidR="00E0228D" w:rsidRPr="00E0228D">
              <w:rPr>
                <w:b/>
                <w:bCs/>
                <w:sz w:val="28"/>
                <w:szCs w:val="28"/>
              </w:rPr>
              <w:t>Alternatives to Exclusion</w:t>
            </w:r>
          </w:p>
        </w:tc>
      </w:tr>
      <w:tr w:rsidR="00AF0890" w:rsidRPr="00AF0890" w14:paraId="07C86D1E" w14:textId="77777777" w:rsidTr="00914FE5">
        <w:trPr>
          <w:trHeight w:val="807"/>
        </w:trPr>
        <w:tc>
          <w:tcPr>
            <w:tcW w:w="5460" w:type="dxa"/>
            <w:shd w:val="clear" w:color="auto" w:fill="FAE2D5" w:themeFill="accent2" w:themeFillTint="33"/>
          </w:tcPr>
          <w:p w14:paraId="17121617" w14:textId="77777777" w:rsidR="00AF0890" w:rsidRDefault="00E0228D">
            <w:pPr>
              <w:rPr>
                <w:sz w:val="20"/>
                <w:szCs w:val="20"/>
              </w:rPr>
            </w:pPr>
            <w:r w:rsidRPr="00E0228D">
              <w:rPr>
                <w:sz w:val="20"/>
                <w:szCs w:val="20"/>
              </w:rPr>
              <w:t xml:space="preserve">Headteachers should also consider the following: a) an off-site direction (temporary measure that maintained schools and academies for similar purposes can use) or b) managed moves (permanent measure) as preventative measures to exclusion. </w:t>
            </w:r>
          </w:p>
          <w:p w14:paraId="2392FCFD" w14:textId="5ADF85AA" w:rsidR="004B3B1B" w:rsidRDefault="004B3B1B" w:rsidP="004B3B1B">
            <w:pPr>
              <w:rPr>
                <w:sz w:val="20"/>
                <w:szCs w:val="20"/>
              </w:rPr>
            </w:pPr>
            <w:r w:rsidRPr="006A5762">
              <w:rPr>
                <w:color w:val="BF4E14" w:themeColor="accent2" w:themeShade="BF"/>
                <w:sz w:val="20"/>
                <w:szCs w:val="20"/>
              </w:rPr>
              <w:t>(DfE, Suspension and Permanent exclusion in schools 2024, p.</w:t>
            </w:r>
            <w:r>
              <w:rPr>
                <w:color w:val="BF4E14" w:themeColor="accent2" w:themeShade="BF"/>
                <w:sz w:val="20"/>
                <w:szCs w:val="20"/>
              </w:rPr>
              <w:t>19</w:t>
            </w:r>
            <w:r w:rsidRPr="006A5762">
              <w:rPr>
                <w:color w:val="BF4E14" w:themeColor="accent2" w:themeShade="BF"/>
                <w:sz w:val="20"/>
                <w:szCs w:val="20"/>
              </w:rPr>
              <w:t>).</w:t>
            </w:r>
          </w:p>
          <w:p w14:paraId="6BD9EA71" w14:textId="6F9FCC53" w:rsidR="004B3B1B" w:rsidRPr="00E0228D" w:rsidRDefault="004B3B1B">
            <w:pPr>
              <w:rPr>
                <w:sz w:val="20"/>
                <w:szCs w:val="20"/>
              </w:rPr>
            </w:pPr>
          </w:p>
        </w:tc>
        <w:tc>
          <w:tcPr>
            <w:tcW w:w="1820" w:type="dxa"/>
            <w:shd w:val="clear" w:color="auto" w:fill="FAE2D5" w:themeFill="accent2" w:themeFillTint="33"/>
          </w:tcPr>
          <w:p w14:paraId="1A00D1DC" w14:textId="77777777" w:rsidR="00AF0890" w:rsidRDefault="00817AC9">
            <w:pPr>
              <w:rPr>
                <w:sz w:val="20"/>
                <w:szCs w:val="20"/>
              </w:rPr>
            </w:pPr>
            <w:r>
              <w:rPr>
                <w:sz w:val="20"/>
                <w:szCs w:val="20"/>
              </w:rPr>
              <w:t>Offsite direction</w:t>
            </w:r>
          </w:p>
          <w:p w14:paraId="0F8493E9" w14:textId="77777777" w:rsidR="00817AC9" w:rsidRDefault="00817AC9">
            <w:pPr>
              <w:rPr>
                <w:sz w:val="20"/>
                <w:szCs w:val="20"/>
              </w:rPr>
            </w:pPr>
            <w:r>
              <w:rPr>
                <w:sz w:val="20"/>
                <w:szCs w:val="20"/>
              </w:rPr>
              <w:t>Managed move</w:t>
            </w:r>
          </w:p>
          <w:p w14:paraId="2203DE86" w14:textId="399A6790" w:rsidR="006B771A" w:rsidRPr="00AF0890" w:rsidRDefault="006B771A">
            <w:pPr>
              <w:rPr>
                <w:sz w:val="20"/>
                <w:szCs w:val="20"/>
              </w:rPr>
            </w:pPr>
            <w:r>
              <w:rPr>
                <w:sz w:val="20"/>
                <w:szCs w:val="20"/>
              </w:rPr>
              <w:t>Alternative provision</w:t>
            </w:r>
          </w:p>
        </w:tc>
        <w:tc>
          <w:tcPr>
            <w:tcW w:w="2921" w:type="dxa"/>
            <w:shd w:val="clear" w:color="auto" w:fill="FAE2D5" w:themeFill="accent2" w:themeFillTint="33"/>
          </w:tcPr>
          <w:p w14:paraId="097C7CB2" w14:textId="4F9EA0CC" w:rsidR="00B760EF" w:rsidRPr="00C67C2B" w:rsidRDefault="00B760EF">
            <w:pPr>
              <w:rPr>
                <w:color w:val="215E99" w:themeColor="text2" w:themeTint="BF"/>
                <w:sz w:val="20"/>
                <w:szCs w:val="20"/>
              </w:rPr>
            </w:pPr>
          </w:p>
        </w:tc>
      </w:tr>
      <w:tr w:rsidR="00E0228D" w:rsidRPr="00AF0890" w14:paraId="6FABEE79" w14:textId="77777777" w:rsidTr="00914FE5">
        <w:trPr>
          <w:trHeight w:val="807"/>
        </w:trPr>
        <w:tc>
          <w:tcPr>
            <w:tcW w:w="5460" w:type="dxa"/>
            <w:shd w:val="clear" w:color="auto" w:fill="FAE2D5" w:themeFill="accent2" w:themeFillTint="33"/>
          </w:tcPr>
          <w:p w14:paraId="5942C864" w14:textId="77777777" w:rsidR="00E0228D" w:rsidRDefault="00E0228D">
            <w:pPr>
              <w:rPr>
                <w:sz w:val="20"/>
                <w:szCs w:val="20"/>
              </w:rPr>
            </w:pPr>
            <w:r w:rsidRPr="00E0228D">
              <w:rPr>
                <w:sz w:val="20"/>
                <w:szCs w:val="20"/>
              </w:rPr>
              <w:t>Alternative Provision</w:t>
            </w:r>
          </w:p>
          <w:p w14:paraId="720E8043" w14:textId="3770489A" w:rsidR="00425489" w:rsidRDefault="00425489" w:rsidP="00425489">
            <w:pPr>
              <w:rPr>
                <w:sz w:val="20"/>
                <w:szCs w:val="20"/>
              </w:rPr>
            </w:pPr>
            <w:r w:rsidRPr="006A5762">
              <w:rPr>
                <w:color w:val="BF4E14" w:themeColor="accent2" w:themeShade="BF"/>
                <w:sz w:val="20"/>
                <w:szCs w:val="20"/>
              </w:rPr>
              <w:t>(DfE, Suspension and Permanent exclusion in schools 2024, p.</w:t>
            </w:r>
            <w:r>
              <w:rPr>
                <w:color w:val="BF4E14" w:themeColor="accent2" w:themeShade="BF"/>
                <w:sz w:val="20"/>
                <w:szCs w:val="20"/>
              </w:rPr>
              <w:t>19</w:t>
            </w:r>
            <w:r w:rsidRPr="006A5762">
              <w:rPr>
                <w:color w:val="BF4E14" w:themeColor="accent2" w:themeShade="BF"/>
                <w:sz w:val="20"/>
                <w:szCs w:val="20"/>
              </w:rPr>
              <w:t>).</w:t>
            </w:r>
          </w:p>
          <w:p w14:paraId="0DD73C55" w14:textId="7E13CBCD" w:rsidR="00425489" w:rsidRPr="00E0228D" w:rsidRDefault="00425489">
            <w:pPr>
              <w:rPr>
                <w:sz w:val="20"/>
                <w:szCs w:val="20"/>
              </w:rPr>
            </w:pPr>
          </w:p>
        </w:tc>
        <w:tc>
          <w:tcPr>
            <w:tcW w:w="1820" w:type="dxa"/>
            <w:shd w:val="clear" w:color="auto" w:fill="FAE2D5" w:themeFill="accent2" w:themeFillTint="33"/>
          </w:tcPr>
          <w:p w14:paraId="153234B7" w14:textId="3BDEDCDE" w:rsidR="00E0228D" w:rsidRPr="00AF0890" w:rsidRDefault="007B7138">
            <w:pPr>
              <w:rPr>
                <w:sz w:val="20"/>
                <w:szCs w:val="20"/>
              </w:rPr>
            </w:pPr>
            <w:r>
              <w:rPr>
                <w:sz w:val="20"/>
                <w:szCs w:val="20"/>
              </w:rPr>
              <w:t>Alternative provision discussions</w:t>
            </w:r>
          </w:p>
        </w:tc>
        <w:tc>
          <w:tcPr>
            <w:tcW w:w="2921" w:type="dxa"/>
            <w:shd w:val="clear" w:color="auto" w:fill="FAE2D5" w:themeFill="accent2" w:themeFillTint="33"/>
          </w:tcPr>
          <w:p w14:paraId="421D0DEC" w14:textId="138B94F1" w:rsidR="00E0228D" w:rsidRPr="00C67C2B" w:rsidRDefault="00E0228D">
            <w:pPr>
              <w:rPr>
                <w:color w:val="215E99" w:themeColor="text2" w:themeTint="BF"/>
                <w:sz w:val="20"/>
                <w:szCs w:val="20"/>
              </w:rPr>
            </w:pPr>
          </w:p>
        </w:tc>
      </w:tr>
      <w:tr w:rsidR="00E0228D" w:rsidRPr="00AF0890" w14:paraId="28CAECFB" w14:textId="77777777" w:rsidTr="00914FE5">
        <w:trPr>
          <w:trHeight w:val="807"/>
        </w:trPr>
        <w:tc>
          <w:tcPr>
            <w:tcW w:w="5460" w:type="dxa"/>
            <w:shd w:val="clear" w:color="auto" w:fill="FAE2D5" w:themeFill="accent2" w:themeFillTint="33"/>
          </w:tcPr>
          <w:p w14:paraId="6A51BC8B" w14:textId="77777777" w:rsidR="00E0228D" w:rsidRDefault="00E0228D">
            <w:pPr>
              <w:rPr>
                <w:sz w:val="20"/>
                <w:szCs w:val="20"/>
              </w:rPr>
            </w:pPr>
            <w:r w:rsidRPr="00E0228D">
              <w:rPr>
                <w:sz w:val="20"/>
                <w:szCs w:val="20"/>
              </w:rPr>
              <w:t xml:space="preserve">Where a school has concerns about the behaviour, or risk of suspension and permanent exclusion, of a pupil with SEN, a disability or an EHC plan it should, in partnership with others (including where relevant, the local authority), consider what additional support or alternative placement may be required </w:t>
            </w:r>
          </w:p>
          <w:p w14:paraId="5CBB10F6" w14:textId="7A4FEC83" w:rsidR="004938FB" w:rsidRDefault="004938FB" w:rsidP="004938FB">
            <w:pPr>
              <w:rPr>
                <w:sz w:val="20"/>
                <w:szCs w:val="20"/>
              </w:rPr>
            </w:pPr>
            <w:r w:rsidRPr="006A5762">
              <w:rPr>
                <w:color w:val="BF4E14" w:themeColor="accent2" w:themeShade="BF"/>
                <w:sz w:val="20"/>
                <w:szCs w:val="20"/>
              </w:rPr>
              <w:t>(DfE, Suspension and Permanent exclusion in schools 2024, p.</w:t>
            </w:r>
            <w:r>
              <w:rPr>
                <w:color w:val="BF4E14" w:themeColor="accent2" w:themeShade="BF"/>
                <w:sz w:val="20"/>
                <w:szCs w:val="20"/>
              </w:rPr>
              <w:t>24</w:t>
            </w:r>
            <w:r w:rsidRPr="006A5762">
              <w:rPr>
                <w:color w:val="BF4E14" w:themeColor="accent2" w:themeShade="BF"/>
                <w:sz w:val="20"/>
                <w:szCs w:val="20"/>
              </w:rPr>
              <w:t>).</w:t>
            </w:r>
          </w:p>
          <w:p w14:paraId="784756C9" w14:textId="6532B3E4" w:rsidR="004938FB" w:rsidRPr="00E0228D" w:rsidRDefault="004938FB">
            <w:pPr>
              <w:rPr>
                <w:sz w:val="20"/>
                <w:szCs w:val="20"/>
              </w:rPr>
            </w:pPr>
          </w:p>
        </w:tc>
        <w:tc>
          <w:tcPr>
            <w:tcW w:w="1820" w:type="dxa"/>
            <w:shd w:val="clear" w:color="auto" w:fill="FAE2D5" w:themeFill="accent2" w:themeFillTint="33"/>
          </w:tcPr>
          <w:p w14:paraId="63D95ABF" w14:textId="6A945DF9" w:rsidR="00E0228D" w:rsidRPr="00AF0890" w:rsidRDefault="004E0421">
            <w:pPr>
              <w:rPr>
                <w:sz w:val="20"/>
                <w:szCs w:val="20"/>
              </w:rPr>
            </w:pPr>
            <w:r>
              <w:rPr>
                <w:sz w:val="20"/>
                <w:szCs w:val="20"/>
              </w:rPr>
              <w:t>Int</w:t>
            </w:r>
            <w:r w:rsidR="005C158C">
              <w:rPr>
                <w:sz w:val="20"/>
                <w:szCs w:val="20"/>
              </w:rPr>
              <w:t>erim review</w:t>
            </w:r>
          </w:p>
        </w:tc>
        <w:tc>
          <w:tcPr>
            <w:tcW w:w="2921" w:type="dxa"/>
            <w:shd w:val="clear" w:color="auto" w:fill="FAE2D5" w:themeFill="accent2" w:themeFillTint="33"/>
          </w:tcPr>
          <w:p w14:paraId="247B49CC" w14:textId="6CDDAB6D" w:rsidR="00E0228D" w:rsidRPr="00C67C2B" w:rsidRDefault="00E0228D">
            <w:pPr>
              <w:rPr>
                <w:color w:val="215E99" w:themeColor="text2" w:themeTint="BF"/>
                <w:sz w:val="20"/>
                <w:szCs w:val="20"/>
              </w:rPr>
            </w:pPr>
          </w:p>
        </w:tc>
      </w:tr>
      <w:tr w:rsidR="00E0228D" w:rsidRPr="00AF0890" w14:paraId="5CE5C9D6" w14:textId="77777777" w:rsidTr="00914FE5">
        <w:trPr>
          <w:trHeight w:val="807"/>
        </w:trPr>
        <w:tc>
          <w:tcPr>
            <w:tcW w:w="5460" w:type="dxa"/>
            <w:shd w:val="clear" w:color="auto" w:fill="FAE2D5" w:themeFill="accent2" w:themeFillTint="33"/>
          </w:tcPr>
          <w:p w14:paraId="3164DA8C" w14:textId="77777777" w:rsidR="00E0228D" w:rsidRDefault="00E0228D">
            <w:pPr>
              <w:rPr>
                <w:sz w:val="20"/>
                <w:szCs w:val="20"/>
              </w:rPr>
            </w:pPr>
            <w:r w:rsidRPr="00770887">
              <w:rPr>
                <w:sz w:val="20"/>
                <w:szCs w:val="20"/>
              </w:rPr>
              <w:t xml:space="preserve">The headteacher should also take account of any contributing factors identified after an incident of misbehaviour has occurred </w:t>
            </w:r>
          </w:p>
          <w:p w14:paraId="7DD1625E" w14:textId="746749C2" w:rsidR="004524D4" w:rsidRPr="00770887" w:rsidRDefault="004524D4">
            <w:pPr>
              <w:rPr>
                <w:sz w:val="20"/>
                <w:szCs w:val="20"/>
              </w:rPr>
            </w:pPr>
            <w:r>
              <w:rPr>
                <w:color w:val="BF4E14" w:themeColor="accent2" w:themeShade="BF"/>
                <w:sz w:val="20"/>
                <w:szCs w:val="20"/>
              </w:rPr>
              <w:t>(</w:t>
            </w:r>
            <w:r w:rsidRPr="005F31E2">
              <w:rPr>
                <w:color w:val="BF4E14" w:themeColor="accent2" w:themeShade="BF"/>
                <w:sz w:val="20"/>
                <w:szCs w:val="20"/>
              </w:rPr>
              <w:t>DFE, Behaviour in Schools, Feb 2024 p.1</w:t>
            </w:r>
            <w:r w:rsidR="00CF3DA5">
              <w:rPr>
                <w:color w:val="BF4E14" w:themeColor="accent2" w:themeShade="BF"/>
                <w:sz w:val="20"/>
                <w:szCs w:val="20"/>
              </w:rPr>
              <w:t>5)</w:t>
            </w:r>
          </w:p>
        </w:tc>
        <w:tc>
          <w:tcPr>
            <w:tcW w:w="1820" w:type="dxa"/>
            <w:shd w:val="clear" w:color="auto" w:fill="FAE2D5" w:themeFill="accent2" w:themeFillTint="33"/>
          </w:tcPr>
          <w:p w14:paraId="6B65CB3E" w14:textId="77777777" w:rsidR="00E0228D" w:rsidRDefault="004452A4">
            <w:pPr>
              <w:rPr>
                <w:sz w:val="20"/>
                <w:szCs w:val="20"/>
              </w:rPr>
            </w:pPr>
            <w:r>
              <w:rPr>
                <w:sz w:val="20"/>
                <w:szCs w:val="20"/>
              </w:rPr>
              <w:t>Parental views</w:t>
            </w:r>
          </w:p>
          <w:p w14:paraId="64B79CDE" w14:textId="7414072E" w:rsidR="004452A4" w:rsidRPr="00AF0890" w:rsidRDefault="007C5B26">
            <w:pPr>
              <w:rPr>
                <w:sz w:val="20"/>
                <w:szCs w:val="20"/>
              </w:rPr>
            </w:pPr>
            <w:r>
              <w:rPr>
                <w:sz w:val="20"/>
                <w:szCs w:val="20"/>
              </w:rPr>
              <w:t>Feedback from professionals</w:t>
            </w:r>
          </w:p>
        </w:tc>
        <w:tc>
          <w:tcPr>
            <w:tcW w:w="2921" w:type="dxa"/>
            <w:shd w:val="clear" w:color="auto" w:fill="FAE2D5" w:themeFill="accent2" w:themeFillTint="33"/>
          </w:tcPr>
          <w:p w14:paraId="7309E010" w14:textId="0F06788D" w:rsidR="00E0228D" w:rsidRPr="00C67C2B" w:rsidRDefault="00E0228D">
            <w:pPr>
              <w:rPr>
                <w:color w:val="215E99" w:themeColor="text2" w:themeTint="BF"/>
                <w:sz w:val="20"/>
                <w:szCs w:val="20"/>
              </w:rPr>
            </w:pPr>
          </w:p>
        </w:tc>
      </w:tr>
      <w:tr w:rsidR="00E0228D" w:rsidRPr="00AF0890" w14:paraId="16E8BD02" w14:textId="77777777" w:rsidTr="00E268CB">
        <w:trPr>
          <w:trHeight w:val="807"/>
        </w:trPr>
        <w:tc>
          <w:tcPr>
            <w:tcW w:w="5460" w:type="dxa"/>
            <w:tcBorders>
              <w:bottom w:val="single" w:sz="4" w:space="0" w:color="auto"/>
            </w:tcBorders>
            <w:shd w:val="clear" w:color="auto" w:fill="FAE2D5" w:themeFill="accent2" w:themeFillTint="33"/>
          </w:tcPr>
          <w:p w14:paraId="66B60B55" w14:textId="0D51F41A" w:rsidR="00E0228D" w:rsidRDefault="00770887">
            <w:pPr>
              <w:rPr>
                <w:sz w:val="20"/>
                <w:szCs w:val="20"/>
              </w:rPr>
            </w:pPr>
            <w:r w:rsidRPr="00770887">
              <w:rPr>
                <w:sz w:val="20"/>
                <w:szCs w:val="20"/>
              </w:rPr>
              <w:t>It would also be unlawful to exclude a pupil simply because they have SEN or a disability that the school feels it is unable to meet</w:t>
            </w:r>
          </w:p>
          <w:p w14:paraId="2EDEF1ED" w14:textId="24C3A828" w:rsidR="007B7916" w:rsidRDefault="007B7916" w:rsidP="007B7916">
            <w:pPr>
              <w:rPr>
                <w:sz w:val="20"/>
                <w:szCs w:val="20"/>
              </w:rPr>
            </w:pPr>
            <w:r w:rsidRPr="006A5762">
              <w:rPr>
                <w:color w:val="BF4E14" w:themeColor="accent2" w:themeShade="BF"/>
                <w:sz w:val="20"/>
                <w:szCs w:val="20"/>
              </w:rPr>
              <w:t>(DfE, Suspension and Permanent exclusion in schools 2024, p.</w:t>
            </w:r>
            <w:r>
              <w:rPr>
                <w:color w:val="BF4E14" w:themeColor="accent2" w:themeShade="BF"/>
                <w:sz w:val="20"/>
                <w:szCs w:val="20"/>
              </w:rPr>
              <w:t>16</w:t>
            </w:r>
            <w:r w:rsidRPr="006A5762">
              <w:rPr>
                <w:color w:val="BF4E14" w:themeColor="accent2" w:themeShade="BF"/>
                <w:sz w:val="20"/>
                <w:szCs w:val="20"/>
              </w:rPr>
              <w:t>).</w:t>
            </w:r>
          </w:p>
          <w:p w14:paraId="6A85ECEB" w14:textId="77777777" w:rsidR="007B7916" w:rsidRPr="00770887" w:rsidRDefault="007B7916">
            <w:pPr>
              <w:rPr>
                <w:sz w:val="20"/>
                <w:szCs w:val="20"/>
              </w:rPr>
            </w:pPr>
          </w:p>
          <w:p w14:paraId="458FE731" w14:textId="5A506CE7" w:rsidR="00770887" w:rsidRPr="00770887" w:rsidRDefault="00770887">
            <w:pPr>
              <w:rPr>
                <w:sz w:val="20"/>
                <w:szCs w:val="20"/>
              </w:rPr>
            </w:pPr>
          </w:p>
        </w:tc>
        <w:tc>
          <w:tcPr>
            <w:tcW w:w="1820" w:type="dxa"/>
            <w:tcBorders>
              <w:bottom w:val="single" w:sz="4" w:space="0" w:color="auto"/>
            </w:tcBorders>
            <w:shd w:val="clear" w:color="auto" w:fill="FAE2D5" w:themeFill="accent2" w:themeFillTint="33"/>
          </w:tcPr>
          <w:p w14:paraId="3CA52C27" w14:textId="7205564B" w:rsidR="00E0228D" w:rsidRPr="00AF0890" w:rsidRDefault="007C5B26">
            <w:pPr>
              <w:rPr>
                <w:sz w:val="20"/>
                <w:szCs w:val="20"/>
              </w:rPr>
            </w:pPr>
            <w:r>
              <w:rPr>
                <w:sz w:val="20"/>
                <w:szCs w:val="20"/>
              </w:rPr>
              <w:t xml:space="preserve">Students not </w:t>
            </w:r>
            <w:proofErr w:type="spellStart"/>
            <w:r>
              <w:rPr>
                <w:sz w:val="20"/>
                <w:szCs w:val="20"/>
              </w:rPr>
              <w:t>PXed</w:t>
            </w:r>
            <w:proofErr w:type="spellEnd"/>
            <w:r>
              <w:rPr>
                <w:sz w:val="20"/>
                <w:szCs w:val="20"/>
              </w:rPr>
              <w:t xml:space="preserve"> because EHCP cannot be met</w:t>
            </w:r>
          </w:p>
        </w:tc>
        <w:tc>
          <w:tcPr>
            <w:tcW w:w="2921" w:type="dxa"/>
            <w:tcBorders>
              <w:bottom w:val="single" w:sz="4" w:space="0" w:color="auto"/>
            </w:tcBorders>
            <w:shd w:val="clear" w:color="auto" w:fill="FAE2D5" w:themeFill="accent2" w:themeFillTint="33"/>
          </w:tcPr>
          <w:p w14:paraId="279B967B" w14:textId="064B67C2" w:rsidR="00E0228D" w:rsidRPr="00C67C2B" w:rsidRDefault="00E0228D">
            <w:pPr>
              <w:rPr>
                <w:color w:val="215E99" w:themeColor="text2" w:themeTint="BF"/>
                <w:sz w:val="20"/>
                <w:szCs w:val="20"/>
              </w:rPr>
            </w:pPr>
          </w:p>
        </w:tc>
      </w:tr>
      <w:tr w:rsidR="00DB3DE8" w:rsidRPr="00AF0890" w14:paraId="60F3B66F" w14:textId="77777777" w:rsidTr="007D279B">
        <w:trPr>
          <w:trHeight w:val="807"/>
        </w:trPr>
        <w:tc>
          <w:tcPr>
            <w:tcW w:w="10201" w:type="dxa"/>
            <w:gridSpan w:val="3"/>
            <w:tcBorders>
              <w:left w:val="nil"/>
              <w:bottom w:val="single" w:sz="4" w:space="0" w:color="auto"/>
              <w:right w:val="nil"/>
            </w:tcBorders>
            <w:shd w:val="clear" w:color="auto" w:fill="FFFFFF" w:themeFill="background1"/>
          </w:tcPr>
          <w:p w14:paraId="1518514D" w14:textId="171CBE7E" w:rsidR="00DB3DE8" w:rsidRPr="00C67C2B" w:rsidRDefault="00DB3DE8" w:rsidP="00DB3DE8">
            <w:pPr>
              <w:jc w:val="center"/>
              <w:rPr>
                <w:color w:val="215E99" w:themeColor="text2" w:themeTint="BF"/>
                <w:sz w:val="20"/>
                <w:szCs w:val="20"/>
              </w:rPr>
            </w:pPr>
            <w:r>
              <w:rPr>
                <w:b/>
                <w:bCs/>
                <w:sz w:val="28"/>
                <w:szCs w:val="28"/>
              </w:rPr>
              <w:t xml:space="preserve">5. </w:t>
            </w:r>
            <w:proofErr w:type="gramStart"/>
            <w:r>
              <w:rPr>
                <w:b/>
                <w:bCs/>
                <w:sz w:val="28"/>
                <w:szCs w:val="28"/>
              </w:rPr>
              <w:t xml:space="preserve">Permanent </w:t>
            </w:r>
            <w:r w:rsidRPr="00E0228D">
              <w:rPr>
                <w:b/>
                <w:bCs/>
                <w:sz w:val="28"/>
                <w:szCs w:val="28"/>
              </w:rPr>
              <w:t xml:space="preserve"> Exclusion</w:t>
            </w:r>
            <w:proofErr w:type="gramEnd"/>
          </w:p>
        </w:tc>
      </w:tr>
      <w:tr w:rsidR="00E0228D" w:rsidRPr="00AF0890" w14:paraId="19C6B5E8" w14:textId="77777777" w:rsidTr="00E268CB">
        <w:trPr>
          <w:trHeight w:val="807"/>
        </w:trPr>
        <w:tc>
          <w:tcPr>
            <w:tcW w:w="5460" w:type="dxa"/>
            <w:tcBorders>
              <w:top w:val="single" w:sz="4" w:space="0" w:color="auto"/>
            </w:tcBorders>
            <w:shd w:val="clear" w:color="auto" w:fill="FEDEE3"/>
          </w:tcPr>
          <w:p w14:paraId="563933F9" w14:textId="0EFE53EF" w:rsidR="00E0228D" w:rsidRPr="0084566C" w:rsidRDefault="0084566C">
            <w:pPr>
              <w:rPr>
                <w:sz w:val="20"/>
                <w:szCs w:val="20"/>
              </w:rPr>
            </w:pPr>
            <w:r w:rsidRPr="0084566C">
              <w:rPr>
                <w:sz w:val="20"/>
                <w:szCs w:val="20"/>
              </w:rPr>
              <w:t xml:space="preserve">It is recognised that occasionally a serious one-off breach of the behaviour policy may occur that leads to an exclusion being considered but where there has not been opportunity </w:t>
            </w:r>
            <w:r w:rsidRPr="0084566C">
              <w:rPr>
                <w:sz w:val="20"/>
                <w:szCs w:val="20"/>
              </w:rPr>
              <w:lastRenderedPageBreak/>
              <w:t>to follow the steps as outlined in this document. It is important to note that in this situation, step 3</w:t>
            </w:r>
            <w:r>
              <w:rPr>
                <w:sz w:val="20"/>
                <w:szCs w:val="20"/>
              </w:rPr>
              <w:t xml:space="preserve"> and </w:t>
            </w:r>
            <w:r w:rsidR="00FD1F66">
              <w:rPr>
                <w:sz w:val="20"/>
                <w:szCs w:val="20"/>
              </w:rPr>
              <w:t xml:space="preserve">4 </w:t>
            </w:r>
            <w:r w:rsidR="00FD1F66" w:rsidRPr="0084566C">
              <w:rPr>
                <w:sz w:val="20"/>
                <w:szCs w:val="20"/>
              </w:rPr>
              <w:t>remains</w:t>
            </w:r>
            <w:r w:rsidRPr="0084566C">
              <w:rPr>
                <w:sz w:val="20"/>
                <w:szCs w:val="20"/>
              </w:rPr>
              <w:t xml:space="preserve"> relevant. Every effort should be made to avoid permanently excluding a pupil where there has been insufficient opportunity to follow steps one and two.</w:t>
            </w:r>
          </w:p>
        </w:tc>
        <w:tc>
          <w:tcPr>
            <w:tcW w:w="1820" w:type="dxa"/>
            <w:tcBorders>
              <w:top w:val="single" w:sz="4" w:space="0" w:color="auto"/>
            </w:tcBorders>
            <w:shd w:val="clear" w:color="auto" w:fill="FEDEE3"/>
          </w:tcPr>
          <w:p w14:paraId="35CDD44B" w14:textId="3C188E8E" w:rsidR="00E0228D" w:rsidRDefault="0080273E">
            <w:pPr>
              <w:rPr>
                <w:sz w:val="20"/>
                <w:szCs w:val="20"/>
              </w:rPr>
            </w:pPr>
            <w:r>
              <w:rPr>
                <w:sz w:val="20"/>
                <w:szCs w:val="20"/>
              </w:rPr>
              <w:lastRenderedPageBreak/>
              <w:t>Discussions with LA</w:t>
            </w:r>
            <w:r w:rsidR="00D44BCD">
              <w:rPr>
                <w:sz w:val="20"/>
                <w:szCs w:val="20"/>
              </w:rPr>
              <w:t>.</w:t>
            </w:r>
          </w:p>
          <w:p w14:paraId="57D157CB" w14:textId="4E7365E3" w:rsidR="00137023" w:rsidRDefault="00137023">
            <w:pPr>
              <w:rPr>
                <w:sz w:val="20"/>
                <w:szCs w:val="20"/>
              </w:rPr>
            </w:pPr>
            <w:r>
              <w:rPr>
                <w:sz w:val="20"/>
                <w:szCs w:val="20"/>
              </w:rPr>
              <w:t>Review the above</w:t>
            </w:r>
            <w:r w:rsidR="00D44BCD">
              <w:rPr>
                <w:sz w:val="20"/>
                <w:szCs w:val="20"/>
              </w:rPr>
              <w:t>.</w:t>
            </w:r>
          </w:p>
          <w:p w14:paraId="6B8BC9B8" w14:textId="1521B64E" w:rsidR="00315913" w:rsidRPr="00AF0890" w:rsidRDefault="007337D3">
            <w:pPr>
              <w:rPr>
                <w:sz w:val="20"/>
                <w:szCs w:val="20"/>
              </w:rPr>
            </w:pPr>
            <w:r>
              <w:rPr>
                <w:sz w:val="20"/>
                <w:szCs w:val="20"/>
              </w:rPr>
              <w:lastRenderedPageBreak/>
              <w:t xml:space="preserve">Restorative </w:t>
            </w:r>
            <w:r w:rsidR="008C4BC8">
              <w:rPr>
                <w:sz w:val="20"/>
                <w:szCs w:val="20"/>
              </w:rPr>
              <w:t>actions</w:t>
            </w:r>
            <w:r w:rsidR="00D44BCD">
              <w:rPr>
                <w:sz w:val="20"/>
                <w:szCs w:val="20"/>
              </w:rPr>
              <w:t>.</w:t>
            </w:r>
          </w:p>
        </w:tc>
        <w:tc>
          <w:tcPr>
            <w:tcW w:w="2921" w:type="dxa"/>
            <w:tcBorders>
              <w:top w:val="single" w:sz="4" w:space="0" w:color="auto"/>
            </w:tcBorders>
            <w:shd w:val="clear" w:color="auto" w:fill="FEDEE3"/>
          </w:tcPr>
          <w:p w14:paraId="6CC6981E" w14:textId="20B2BFA3" w:rsidR="00E0228D" w:rsidRPr="00AF0890" w:rsidRDefault="00E0228D">
            <w:pPr>
              <w:rPr>
                <w:sz w:val="20"/>
                <w:szCs w:val="20"/>
              </w:rPr>
            </w:pPr>
          </w:p>
        </w:tc>
      </w:tr>
    </w:tbl>
    <w:p w14:paraId="638BF981" w14:textId="77777777" w:rsidR="0090195F" w:rsidRPr="00AF0890" w:rsidRDefault="0090195F">
      <w:pPr>
        <w:rPr>
          <w:sz w:val="20"/>
          <w:szCs w:val="20"/>
        </w:rPr>
      </w:pPr>
    </w:p>
    <w:sectPr w:rsidR="0090195F" w:rsidRPr="00AF0890" w:rsidSect="003A298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4EA9" w14:textId="77777777" w:rsidR="009225C4" w:rsidRDefault="009225C4" w:rsidP="004D4A53">
      <w:pPr>
        <w:spacing w:after="0" w:line="240" w:lineRule="auto"/>
      </w:pPr>
      <w:r>
        <w:separator/>
      </w:r>
    </w:p>
  </w:endnote>
  <w:endnote w:type="continuationSeparator" w:id="0">
    <w:p w14:paraId="1960D998" w14:textId="77777777" w:rsidR="009225C4" w:rsidRDefault="009225C4" w:rsidP="004D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75DB" w14:textId="77777777" w:rsidR="004D4A53" w:rsidRDefault="004D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EF3" w14:textId="77777777" w:rsidR="004D4A53" w:rsidRDefault="004D4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AF87" w14:textId="77777777" w:rsidR="004D4A53" w:rsidRDefault="004D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04AF" w14:textId="77777777" w:rsidR="009225C4" w:rsidRDefault="009225C4" w:rsidP="004D4A53">
      <w:pPr>
        <w:spacing w:after="0" w:line="240" w:lineRule="auto"/>
      </w:pPr>
      <w:r>
        <w:separator/>
      </w:r>
    </w:p>
  </w:footnote>
  <w:footnote w:type="continuationSeparator" w:id="0">
    <w:p w14:paraId="7DC767FD" w14:textId="77777777" w:rsidR="009225C4" w:rsidRDefault="009225C4" w:rsidP="004D4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5AC" w14:textId="6D2D4A35" w:rsidR="004D4A53" w:rsidRDefault="000D4A25">
    <w:pPr>
      <w:pStyle w:val="Header"/>
    </w:pPr>
    <w:r>
      <w:rPr>
        <w:noProof/>
      </w:rPr>
      <mc:AlternateContent>
        <mc:Choice Requires="wps">
          <w:drawing>
            <wp:anchor distT="0" distB="0" distL="0" distR="0" simplePos="0" relativeHeight="251665408" behindDoc="0" locked="0" layoutInCell="1" allowOverlap="1" wp14:anchorId="1864FAA5" wp14:editId="676BBFA5">
              <wp:simplePos x="635" y="635"/>
              <wp:positionH relativeFrom="page">
                <wp:align>right</wp:align>
              </wp:positionH>
              <wp:positionV relativeFrom="page">
                <wp:align>top</wp:align>
              </wp:positionV>
              <wp:extent cx="443865" cy="443865"/>
              <wp:effectExtent l="0" t="0" r="0" b="10795"/>
              <wp:wrapNone/>
              <wp:docPr id="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2C869" w14:textId="13BF1EE4"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64FAA5" id="_x0000_t202" coordsize="21600,21600" o:spt="202" path="m,l,21600r21600,l21600,xe">
              <v:stroke joinstyle="miter"/>
              <v:path gradientshapeok="t" o:connecttype="rect"/>
            </v:shapetype>
            <v:shape id="Text Box 2" o:spid="_x0000_s1026" type="#_x0000_t202" alt="Information Classification: CONTROLLED"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6B2C869" w14:textId="13BF1EE4"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4E96" w14:textId="7D84CB83" w:rsidR="004D4A53" w:rsidRDefault="000D4A25">
    <w:pPr>
      <w:pStyle w:val="Header"/>
    </w:pPr>
    <w:r>
      <w:rPr>
        <w:noProof/>
      </w:rPr>
      <mc:AlternateContent>
        <mc:Choice Requires="wps">
          <w:drawing>
            <wp:anchor distT="0" distB="0" distL="0" distR="0" simplePos="0" relativeHeight="251666432" behindDoc="0" locked="0" layoutInCell="1" allowOverlap="1" wp14:anchorId="49370255" wp14:editId="7BD2BB51">
              <wp:simplePos x="457200" y="447675"/>
              <wp:positionH relativeFrom="page">
                <wp:align>right</wp:align>
              </wp:positionH>
              <wp:positionV relativeFrom="page">
                <wp:align>top</wp:align>
              </wp:positionV>
              <wp:extent cx="443865" cy="443865"/>
              <wp:effectExtent l="0" t="0" r="0" b="1079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146A" w14:textId="4CC2FD6D"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370255" id="_x0000_t202" coordsize="21600,21600" o:spt="202" path="m,l,21600r21600,l21600,xe">
              <v:stroke joinstyle="miter"/>
              <v:path gradientshapeok="t" o:connecttype="rect"/>
            </v:shapetype>
            <v:shape id="Text Box 3" o:spid="_x0000_s1027" type="#_x0000_t202" alt="Information Classification: CONTROLLED"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0D3146A" w14:textId="4CC2FD6D"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5A88" w14:textId="140A60B9" w:rsidR="004D4A53" w:rsidRDefault="000D4A25">
    <w:pPr>
      <w:pStyle w:val="Header"/>
    </w:pPr>
    <w:r>
      <w:rPr>
        <w:noProof/>
      </w:rPr>
      <mc:AlternateContent>
        <mc:Choice Requires="wps">
          <w:drawing>
            <wp:anchor distT="0" distB="0" distL="0" distR="0" simplePos="0" relativeHeight="251664384" behindDoc="0" locked="0" layoutInCell="1" allowOverlap="1" wp14:anchorId="75D95907" wp14:editId="5A448F6E">
              <wp:simplePos x="635" y="635"/>
              <wp:positionH relativeFrom="page">
                <wp:align>right</wp:align>
              </wp:positionH>
              <wp:positionV relativeFrom="page">
                <wp:align>top</wp:align>
              </wp:positionV>
              <wp:extent cx="443865" cy="443865"/>
              <wp:effectExtent l="0" t="0" r="0" b="10795"/>
              <wp:wrapNone/>
              <wp:docPr id="1"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7A7C3" w14:textId="01DBE698"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D95907" id="_x0000_t202" coordsize="21600,21600" o:spt="202" path="m,l,21600r21600,l21600,xe">
              <v:stroke joinstyle="miter"/>
              <v:path gradientshapeok="t" o:connecttype="rect"/>
            </v:shapetype>
            <v:shape id="Text Box 1" o:spid="_x0000_s1028" type="#_x0000_t202" alt="Information Classification: CONTROLLED"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3A7A7C3" w14:textId="01DBE698" w:rsidR="000D4A25" w:rsidRPr="000D4A25" w:rsidRDefault="000D4A25" w:rsidP="000D4A25">
                    <w:pPr>
                      <w:spacing w:after="0"/>
                      <w:rPr>
                        <w:rFonts w:ascii="Calibri" w:eastAsia="Calibri" w:hAnsi="Calibri" w:cs="Calibri"/>
                        <w:noProof/>
                        <w:color w:val="FF8C00"/>
                        <w:sz w:val="20"/>
                        <w:szCs w:val="20"/>
                      </w:rPr>
                    </w:pPr>
                    <w:r w:rsidRPr="000D4A25">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223"/>
    <w:multiLevelType w:val="hybridMultilevel"/>
    <w:tmpl w:val="ED3CAAD6"/>
    <w:lvl w:ilvl="0" w:tplc="6C2E895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9522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0D"/>
    <w:rsid w:val="00000574"/>
    <w:rsid w:val="00022070"/>
    <w:rsid w:val="0002654B"/>
    <w:rsid w:val="00045B19"/>
    <w:rsid w:val="00054508"/>
    <w:rsid w:val="000653E0"/>
    <w:rsid w:val="00075022"/>
    <w:rsid w:val="000A2E5E"/>
    <w:rsid w:val="000A5812"/>
    <w:rsid w:val="000B61E8"/>
    <w:rsid w:val="000D053B"/>
    <w:rsid w:val="000D4A25"/>
    <w:rsid w:val="000F2FBF"/>
    <w:rsid w:val="001140CF"/>
    <w:rsid w:val="00130235"/>
    <w:rsid w:val="00130D85"/>
    <w:rsid w:val="00137023"/>
    <w:rsid w:val="00137E1A"/>
    <w:rsid w:val="00145B88"/>
    <w:rsid w:val="001465FC"/>
    <w:rsid w:val="00147424"/>
    <w:rsid w:val="001A4BD6"/>
    <w:rsid w:val="001C4F4C"/>
    <w:rsid w:val="001F063A"/>
    <w:rsid w:val="001F238D"/>
    <w:rsid w:val="00200865"/>
    <w:rsid w:val="00230483"/>
    <w:rsid w:val="00234BF0"/>
    <w:rsid w:val="002516E0"/>
    <w:rsid w:val="002612B5"/>
    <w:rsid w:val="00281B4C"/>
    <w:rsid w:val="00282096"/>
    <w:rsid w:val="002876CE"/>
    <w:rsid w:val="002B0828"/>
    <w:rsid w:val="002B1181"/>
    <w:rsid w:val="002F33FC"/>
    <w:rsid w:val="00304D8F"/>
    <w:rsid w:val="00311E21"/>
    <w:rsid w:val="00315913"/>
    <w:rsid w:val="003357CA"/>
    <w:rsid w:val="00374A12"/>
    <w:rsid w:val="003A1ED3"/>
    <w:rsid w:val="003A298F"/>
    <w:rsid w:val="003B60AE"/>
    <w:rsid w:val="003C2524"/>
    <w:rsid w:val="003C695D"/>
    <w:rsid w:val="003C7806"/>
    <w:rsid w:val="003D17B8"/>
    <w:rsid w:val="00425489"/>
    <w:rsid w:val="0042568B"/>
    <w:rsid w:val="004452A4"/>
    <w:rsid w:val="00446405"/>
    <w:rsid w:val="004524D4"/>
    <w:rsid w:val="00455051"/>
    <w:rsid w:val="00467A02"/>
    <w:rsid w:val="0047386D"/>
    <w:rsid w:val="00475418"/>
    <w:rsid w:val="0048530A"/>
    <w:rsid w:val="00487898"/>
    <w:rsid w:val="004938FB"/>
    <w:rsid w:val="004A3173"/>
    <w:rsid w:val="004A370F"/>
    <w:rsid w:val="004B2641"/>
    <w:rsid w:val="004B3B1B"/>
    <w:rsid w:val="004C0B25"/>
    <w:rsid w:val="004D4A53"/>
    <w:rsid w:val="004E0421"/>
    <w:rsid w:val="004F1828"/>
    <w:rsid w:val="004F7326"/>
    <w:rsid w:val="00504DF4"/>
    <w:rsid w:val="00514791"/>
    <w:rsid w:val="0052275A"/>
    <w:rsid w:val="00544432"/>
    <w:rsid w:val="00563155"/>
    <w:rsid w:val="00565116"/>
    <w:rsid w:val="0057734B"/>
    <w:rsid w:val="0058342E"/>
    <w:rsid w:val="00592558"/>
    <w:rsid w:val="00593C1F"/>
    <w:rsid w:val="00597726"/>
    <w:rsid w:val="005A4B5E"/>
    <w:rsid w:val="005C158C"/>
    <w:rsid w:val="005F31E2"/>
    <w:rsid w:val="005F41AF"/>
    <w:rsid w:val="006013CA"/>
    <w:rsid w:val="00621605"/>
    <w:rsid w:val="006557BF"/>
    <w:rsid w:val="00656E11"/>
    <w:rsid w:val="00662BD2"/>
    <w:rsid w:val="0067531B"/>
    <w:rsid w:val="006A5762"/>
    <w:rsid w:val="006B771A"/>
    <w:rsid w:val="006C5869"/>
    <w:rsid w:val="006D06A6"/>
    <w:rsid w:val="0072113F"/>
    <w:rsid w:val="007337D3"/>
    <w:rsid w:val="00770887"/>
    <w:rsid w:val="00772974"/>
    <w:rsid w:val="00773D66"/>
    <w:rsid w:val="007776A3"/>
    <w:rsid w:val="0078317B"/>
    <w:rsid w:val="007A080D"/>
    <w:rsid w:val="007B7138"/>
    <w:rsid w:val="007B7916"/>
    <w:rsid w:val="007C5160"/>
    <w:rsid w:val="007C5B26"/>
    <w:rsid w:val="007D47E7"/>
    <w:rsid w:val="007E36A3"/>
    <w:rsid w:val="007E7B79"/>
    <w:rsid w:val="007F7669"/>
    <w:rsid w:val="00800C86"/>
    <w:rsid w:val="0080273E"/>
    <w:rsid w:val="00817AC9"/>
    <w:rsid w:val="008416AC"/>
    <w:rsid w:val="0084566C"/>
    <w:rsid w:val="00846B41"/>
    <w:rsid w:val="00857DB4"/>
    <w:rsid w:val="00897A0D"/>
    <w:rsid w:val="008A5A0F"/>
    <w:rsid w:val="008B5AF5"/>
    <w:rsid w:val="008B6EA3"/>
    <w:rsid w:val="008C4BC8"/>
    <w:rsid w:val="008D0898"/>
    <w:rsid w:val="008D7946"/>
    <w:rsid w:val="0090195F"/>
    <w:rsid w:val="00910AC7"/>
    <w:rsid w:val="00914FE5"/>
    <w:rsid w:val="00920B99"/>
    <w:rsid w:val="009225C4"/>
    <w:rsid w:val="00923368"/>
    <w:rsid w:val="009243A1"/>
    <w:rsid w:val="00942B6E"/>
    <w:rsid w:val="00946322"/>
    <w:rsid w:val="009D50B2"/>
    <w:rsid w:val="009F5367"/>
    <w:rsid w:val="00A012DE"/>
    <w:rsid w:val="00A06520"/>
    <w:rsid w:val="00A2358B"/>
    <w:rsid w:val="00A34C38"/>
    <w:rsid w:val="00A35E68"/>
    <w:rsid w:val="00A66739"/>
    <w:rsid w:val="00A741FE"/>
    <w:rsid w:val="00A75E28"/>
    <w:rsid w:val="00A85D1C"/>
    <w:rsid w:val="00AC1C19"/>
    <w:rsid w:val="00AF0890"/>
    <w:rsid w:val="00B41E13"/>
    <w:rsid w:val="00B508F7"/>
    <w:rsid w:val="00B760EF"/>
    <w:rsid w:val="00BA0298"/>
    <w:rsid w:val="00BD5CB1"/>
    <w:rsid w:val="00C00B74"/>
    <w:rsid w:val="00C1537E"/>
    <w:rsid w:val="00C26B81"/>
    <w:rsid w:val="00C26F58"/>
    <w:rsid w:val="00C67C2B"/>
    <w:rsid w:val="00C719C4"/>
    <w:rsid w:val="00CD6347"/>
    <w:rsid w:val="00CE2CBB"/>
    <w:rsid w:val="00CF3DA5"/>
    <w:rsid w:val="00D3459A"/>
    <w:rsid w:val="00D44BCD"/>
    <w:rsid w:val="00D652AB"/>
    <w:rsid w:val="00D857B9"/>
    <w:rsid w:val="00DB11C5"/>
    <w:rsid w:val="00DB3DE8"/>
    <w:rsid w:val="00DB7CA8"/>
    <w:rsid w:val="00DC35B9"/>
    <w:rsid w:val="00DF5BA3"/>
    <w:rsid w:val="00E0228D"/>
    <w:rsid w:val="00E06DB2"/>
    <w:rsid w:val="00E11A41"/>
    <w:rsid w:val="00E2462D"/>
    <w:rsid w:val="00E268CB"/>
    <w:rsid w:val="00E44A6F"/>
    <w:rsid w:val="00E72C45"/>
    <w:rsid w:val="00E7573B"/>
    <w:rsid w:val="00EC24A4"/>
    <w:rsid w:val="00ED7489"/>
    <w:rsid w:val="00EF2AD8"/>
    <w:rsid w:val="00F066F3"/>
    <w:rsid w:val="00F14BA4"/>
    <w:rsid w:val="00F25E68"/>
    <w:rsid w:val="00F37C44"/>
    <w:rsid w:val="00F40A92"/>
    <w:rsid w:val="00F417FE"/>
    <w:rsid w:val="00F436E8"/>
    <w:rsid w:val="00FB36A9"/>
    <w:rsid w:val="00FC0F3A"/>
    <w:rsid w:val="00FC64D9"/>
    <w:rsid w:val="00FD1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12CC"/>
  <w15:chartTrackingRefBased/>
  <w15:docId w15:val="{F9D25FFB-8DFC-4BED-9413-26B5E7A9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80D"/>
    <w:rPr>
      <w:rFonts w:eastAsiaTheme="majorEastAsia" w:cstheme="majorBidi"/>
      <w:color w:val="272727" w:themeColor="text1" w:themeTint="D8"/>
    </w:rPr>
  </w:style>
  <w:style w:type="paragraph" w:styleId="Title">
    <w:name w:val="Title"/>
    <w:basedOn w:val="Normal"/>
    <w:next w:val="Normal"/>
    <w:link w:val="TitleChar"/>
    <w:uiPriority w:val="10"/>
    <w:qFormat/>
    <w:rsid w:val="007A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80D"/>
    <w:pPr>
      <w:spacing w:before="160"/>
      <w:jc w:val="center"/>
    </w:pPr>
    <w:rPr>
      <w:i/>
      <w:iCs/>
      <w:color w:val="404040" w:themeColor="text1" w:themeTint="BF"/>
    </w:rPr>
  </w:style>
  <w:style w:type="character" w:customStyle="1" w:styleId="QuoteChar">
    <w:name w:val="Quote Char"/>
    <w:basedOn w:val="DefaultParagraphFont"/>
    <w:link w:val="Quote"/>
    <w:uiPriority w:val="29"/>
    <w:rsid w:val="007A080D"/>
    <w:rPr>
      <w:i/>
      <w:iCs/>
      <w:color w:val="404040" w:themeColor="text1" w:themeTint="BF"/>
    </w:rPr>
  </w:style>
  <w:style w:type="paragraph" w:styleId="ListParagraph">
    <w:name w:val="List Paragraph"/>
    <w:basedOn w:val="Normal"/>
    <w:uiPriority w:val="34"/>
    <w:qFormat/>
    <w:rsid w:val="007A080D"/>
    <w:pPr>
      <w:ind w:left="720"/>
      <w:contextualSpacing/>
    </w:pPr>
  </w:style>
  <w:style w:type="character" w:styleId="IntenseEmphasis">
    <w:name w:val="Intense Emphasis"/>
    <w:basedOn w:val="DefaultParagraphFont"/>
    <w:uiPriority w:val="21"/>
    <w:qFormat/>
    <w:rsid w:val="007A080D"/>
    <w:rPr>
      <w:i/>
      <w:iCs/>
      <w:color w:val="0F4761" w:themeColor="accent1" w:themeShade="BF"/>
    </w:rPr>
  </w:style>
  <w:style w:type="paragraph" w:styleId="IntenseQuote">
    <w:name w:val="Intense Quote"/>
    <w:basedOn w:val="Normal"/>
    <w:next w:val="Normal"/>
    <w:link w:val="IntenseQuoteChar"/>
    <w:uiPriority w:val="30"/>
    <w:qFormat/>
    <w:rsid w:val="007A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80D"/>
    <w:rPr>
      <w:i/>
      <w:iCs/>
      <w:color w:val="0F4761" w:themeColor="accent1" w:themeShade="BF"/>
    </w:rPr>
  </w:style>
  <w:style w:type="character" w:styleId="IntenseReference">
    <w:name w:val="Intense Reference"/>
    <w:basedOn w:val="DefaultParagraphFont"/>
    <w:uiPriority w:val="32"/>
    <w:qFormat/>
    <w:rsid w:val="007A080D"/>
    <w:rPr>
      <w:b/>
      <w:bCs/>
      <w:smallCaps/>
      <w:color w:val="0F4761" w:themeColor="accent1" w:themeShade="BF"/>
      <w:spacing w:val="5"/>
    </w:rPr>
  </w:style>
  <w:style w:type="table" w:styleId="TableGrid">
    <w:name w:val="Table Grid"/>
    <w:aliases w:val="Table no border"/>
    <w:basedOn w:val="TableNormal"/>
    <w:rsid w:val="007A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53"/>
  </w:style>
  <w:style w:type="paragraph" w:styleId="Footer">
    <w:name w:val="footer"/>
    <w:basedOn w:val="Normal"/>
    <w:link w:val="FooterChar"/>
    <w:uiPriority w:val="99"/>
    <w:unhideWhenUsed/>
    <w:rsid w:val="004D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53"/>
  </w:style>
  <w:style w:type="paragraph" w:styleId="NoSpacing">
    <w:name w:val="No Spacing"/>
    <w:link w:val="NoSpacingChar"/>
    <w:uiPriority w:val="1"/>
    <w:qFormat/>
    <w:rsid w:val="00FB36A9"/>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FB36A9"/>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nathan.stocker@cornwal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stocker</dc:creator>
  <cp:keywords/>
  <dc:description/>
  <cp:lastModifiedBy>Jonathan Stocker</cp:lastModifiedBy>
  <cp:revision>6</cp:revision>
  <dcterms:created xsi:type="dcterms:W3CDTF">2025-09-15T13:44:00Z</dcterms:created>
  <dcterms:modified xsi:type="dcterms:W3CDTF">2025-09-30T08:58:00Z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2025-02-10T09:50:03Z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0bbc4a37-5a5e-4005-9c2a-436b9051929c</vt:lpwstr>
  </property>
  <property fmtid="{D5CDD505-2E9C-101B-9397-08002B2CF9AE}" pid="11" name="MSIP_Label_65bade86-969a-4cfc-8d70-99d1f0adeaba_ContentBits">
    <vt:lpwstr>1</vt:lpwstr>
  </property>
</Properties>
</file>