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7634" w14:textId="77777777" w:rsidR="006D5F56" w:rsidRPr="006D5F56" w:rsidRDefault="006D5F56" w:rsidP="006D5F56">
      <w:pPr>
        <w:rPr>
          <w:rFonts w:ascii="Verdana" w:hAnsi="Verdana"/>
          <w:b/>
          <w:bCs/>
        </w:rPr>
      </w:pPr>
      <w:r w:rsidRPr="006D5F56">
        <w:rPr>
          <w:rFonts w:ascii="Verdana" w:hAnsi="Verdana"/>
          <w:b/>
          <w:bCs/>
        </w:rPr>
        <w:t>Neighbourhood Peer Panels – Discussion Summary and Key Clarifications</w:t>
      </w:r>
    </w:p>
    <w:p w14:paraId="7B0461C2" w14:textId="77777777" w:rsidR="006D5F56" w:rsidRPr="006D5F56" w:rsidRDefault="006D5F56" w:rsidP="006D5F56">
      <w:pPr>
        <w:rPr>
          <w:rFonts w:ascii="Verdana" w:hAnsi="Verdana"/>
        </w:rPr>
      </w:pPr>
      <w:r w:rsidRPr="006D5F56">
        <w:rPr>
          <w:rFonts w:ascii="Verdana" w:hAnsi="Verdana"/>
          <w:i/>
          <w:iCs/>
        </w:rPr>
        <w:t>(to accompany slide deck)</w:t>
      </w:r>
    </w:p>
    <w:p w14:paraId="72274A82" w14:textId="77777777" w:rsidR="006D5F56" w:rsidRPr="006D5F56" w:rsidRDefault="006D5F56" w:rsidP="006D5F56">
      <w:pPr>
        <w:rPr>
          <w:rFonts w:ascii="Verdana" w:hAnsi="Verdana"/>
        </w:rPr>
      </w:pPr>
      <w:r w:rsidRPr="006D5F56">
        <w:rPr>
          <w:rFonts w:ascii="Verdana" w:hAnsi="Verdana"/>
        </w:rPr>
        <w:t>This session extended the slide content by surfacing practical learning from South Gloucestershire, areas of consensus, and several clarifications that are particularly relevant as Cornwall considers its own approach.</w:t>
      </w:r>
    </w:p>
    <w:p w14:paraId="68624C58" w14:textId="77777777" w:rsidR="006D5F56" w:rsidRPr="006D5F56" w:rsidRDefault="006D5F56" w:rsidP="006D5F56">
      <w:pPr>
        <w:rPr>
          <w:rFonts w:ascii="Verdana" w:hAnsi="Verdana"/>
          <w:b/>
          <w:bCs/>
        </w:rPr>
      </w:pPr>
      <w:r w:rsidRPr="006D5F56">
        <w:rPr>
          <w:rFonts w:ascii="Verdana" w:hAnsi="Verdana"/>
          <w:b/>
          <w:bCs/>
        </w:rPr>
        <w:t>1. Purpose and framing – beyond SEND alone</w:t>
      </w:r>
    </w:p>
    <w:p w14:paraId="1E17B432" w14:textId="77777777" w:rsidR="006D5F56" w:rsidRPr="006D5F56" w:rsidRDefault="006D5F56" w:rsidP="006D5F56">
      <w:pPr>
        <w:rPr>
          <w:rFonts w:ascii="Verdana" w:hAnsi="Verdana"/>
        </w:rPr>
      </w:pPr>
      <w:r w:rsidRPr="006D5F56">
        <w:rPr>
          <w:rFonts w:ascii="Verdana" w:hAnsi="Verdana"/>
        </w:rPr>
        <w:t xml:space="preserve">Discussion reinforced that neighbourhood peer clusters are </w:t>
      </w:r>
      <w:r w:rsidRPr="006D5F56">
        <w:rPr>
          <w:rFonts w:ascii="Verdana" w:hAnsi="Verdana"/>
          <w:b/>
          <w:bCs/>
        </w:rPr>
        <w:t>not a SEND-only mechanism</w:t>
      </w:r>
      <w:r w:rsidRPr="006D5F56">
        <w:rPr>
          <w:rFonts w:ascii="Verdana" w:hAnsi="Verdana"/>
        </w:rPr>
        <w:t>. While SEND is a core focus, the model is intended to support wider school improvement and inclusive practice. The emphasis is on starting with curriculum and adaptive teaching, then environment, and finally the wider community context. This reframing avoids a “fix the child” mindset and instead focuses on reshaping systems around children and families.</w:t>
      </w:r>
    </w:p>
    <w:p w14:paraId="0E68AF0B" w14:textId="77777777" w:rsidR="006D5F56" w:rsidRPr="006D5F56" w:rsidRDefault="006D5F56" w:rsidP="006D5F56">
      <w:pPr>
        <w:rPr>
          <w:rFonts w:ascii="Verdana" w:hAnsi="Verdana"/>
          <w:b/>
          <w:bCs/>
        </w:rPr>
      </w:pPr>
      <w:r w:rsidRPr="006D5F56">
        <w:rPr>
          <w:rFonts w:ascii="Verdana" w:hAnsi="Verdana"/>
          <w:b/>
          <w:bCs/>
        </w:rPr>
        <w:t>2. Role of the local authority – convenor not controller</w:t>
      </w:r>
    </w:p>
    <w:p w14:paraId="610FFA68" w14:textId="77777777" w:rsidR="006D5F56" w:rsidRPr="006D5F56" w:rsidRDefault="006D5F56" w:rsidP="006D5F56">
      <w:pPr>
        <w:rPr>
          <w:rFonts w:ascii="Verdana" w:hAnsi="Verdana"/>
        </w:rPr>
      </w:pPr>
      <w:r w:rsidRPr="006D5F56">
        <w:rPr>
          <w:rFonts w:ascii="Verdana" w:hAnsi="Verdana"/>
        </w:rPr>
        <w:t xml:space="preserve">A key clarification was the </w:t>
      </w:r>
      <w:r w:rsidRPr="006D5F56">
        <w:rPr>
          <w:rFonts w:ascii="Verdana" w:hAnsi="Verdana"/>
          <w:b/>
          <w:bCs/>
        </w:rPr>
        <w:t>local authority’s role as convener and enabler</w:t>
      </w:r>
      <w:r w:rsidRPr="006D5F56">
        <w:rPr>
          <w:rFonts w:ascii="Verdana" w:hAnsi="Verdana"/>
        </w:rPr>
        <w:t>, rather than controller. In South Gloucestershire, clusters operate in the space between individual schools, multi</w:t>
      </w:r>
      <w:r w:rsidRPr="006D5F56">
        <w:rPr>
          <w:rFonts w:ascii="Verdana" w:hAnsi="Verdana"/>
        </w:rPr>
        <w:noBreakHyphen/>
        <w:t>academy trusts and the local authority, enabling collaboration that none of those layers can achieve alone. This distinction was particularly important for Cornwall colleagues, given sensitivities around autonomy and avoiding duplication with existing structures.</w:t>
      </w:r>
    </w:p>
    <w:p w14:paraId="3D065793" w14:textId="77777777" w:rsidR="006D5F56" w:rsidRPr="006D5F56" w:rsidRDefault="006D5F56" w:rsidP="006D5F56">
      <w:pPr>
        <w:rPr>
          <w:rFonts w:ascii="Verdana" w:hAnsi="Verdana"/>
          <w:b/>
          <w:bCs/>
        </w:rPr>
      </w:pPr>
      <w:r w:rsidRPr="006D5F56">
        <w:rPr>
          <w:rFonts w:ascii="Verdana" w:hAnsi="Verdana"/>
          <w:b/>
          <w:bCs/>
        </w:rPr>
        <w:t>3. What clusters enable that individual schools cannot</w:t>
      </w:r>
    </w:p>
    <w:p w14:paraId="375A7C8B" w14:textId="77777777" w:rsidR="006D5F56" w:rsidRPr="006D5F56" w:rsidRDefault="006D5F56" w:rsidP="006D5F56">
      <w:pPr>
        <w:rPr>
          <w:rFonts w:ascii="Verdana" w:hAnsi="Verdana"/>
        </w:rPr>
      </w:pPr>
      <w:r w:rsidRPr="006D5F56">
        <w:rPr>
          <w:rFonts w:ascii="Verdana" w:hAnsi="Verdana"/>
        </w:rPr>
        <w:t>The discussion added practical detail to the slide narrative, highlighting specific benefits of clustering:</w:t>
      </w:r>
    </w:p>
    <w:p w14:paraId="2568A7AE" w14:textId="77777777" w:rsidR="006D5F56" w:rsidRPr="006D5F56" w:rsidRDefault="006D5F56" w:rsidP="006D5F56">
      <w:pPr>
        <w:numPr>
          <w:ilvl w:val="0"/>
          <w:numId w:val="1"/>
        </w:numPr>
        <w:rPr>
          <w:rFonts w:ascii="Verdana" w:hAnsi="Verdana"/>
        </w:rPr>
      </w:pPr>
      <w:r w:rsidRPr="006D5F56">
        <w:rPr>
          <w:rFonts w:ascii="Verdana" w:hAnsi="Verdana"/>
        </w:rPr>
        <w:t>pooling funding to commission services at scale that schools could not access individually</w:t>
      </w:r>
    </w:p>
    <w:p w14:paraId="3AF5871E" w14:textId="77777777" w:rsidR="006D5F56" w:rsidRPr="006D5F56" w:rsidRDefault="006D5F56" w:rsidP="006D5F56">
      <w:pPr>
        <w:numPr>
          <w:ilvl w:val="0"/>
          <w:numId w:val="1"/>
        </w:numPr>
        <w:rPr>
          <w:rFonts w:ascii="Verdana" w:hAnsi="Verdana"/>
        </w:rPr>
      </w:pPr>
      <w:r w:rsidRPr="006D5F56">
        <w:rPr>
          <w:rFonts w:ascii="Verdana" w:hAnsi="Verdana"/>
        </w:rPr>
        <w:t>reducing duplication and improving access by bringing services closer to children and families</w:t>
      </w:r>
    </w:p>
    <w:p w14:paraId="784D599E" w14:textId="77777777" w:rsidR="006D5F56" w:rsidRPr="006D5F56" w:rsidRDefault="006D5F56" w:rsidP="006D5F56">
      <w:pPr>
        <w:numPr>
          <w:ilvl w:val="0"/>
          <w:numId w:val="1"/>
        </w:numPr>
        <w:rPr>
          <w:rFonts w:ascii="Verdana" w:hAnsi="Verdana"/>
        </w:rPr>
      </w:pPr>
      <w:r w:rsidRPr="006D5F56">
        <w:rPr>
          <w:rFonts w:ascii="Verdana" w:hAnsi="Verdana"/>
        </w:rPr>
        <w:t>developing shared intelligence and a population</w:t>
      </w:r>
      <w:r w:rsidRPr="006D5F56">
        <w:rPr>
          <w:rFonts w:ascii="Verdana" w:hAnsi="Verdana"/>
        </w:rPr>
        <w:noBreakHyphen/>
        <w:t>level understanding of need, enabling earlier and more proactive intervention</w:t>
      </w:r>
    </w:p>
    <w:p w14:paraId="4A740CCA" w14:textId="77777777" w:rsidR="006D5F56" w:rsidRPr="006D5F56" w:rsidRDefault="006D5F56" w:rsidP="006D5F56">
      <w:pPr>
        <w:numPr>
          <w:ilvl w:val="0"/>
          <w:numId w:val="1"/>
        </w:numPr>
        <w:rPr>
          <w:rFonts w:ascii="Verdana" w:hAnsi="Verdana"/>
        </w:rPr>
      </w:pPr>
      <w:r w:rsidRPr="006D5F56">
        <w:rPr>
          <w:rFonts w:ascii="Verdana" w:hAnsi="Verdana"/>
        </w:rPr>
        <w:t>strengthening peer support and challenge between schools, particularly through lead SENCo roles.</w:t>
      </w:r>
    </w:p>
    <w:p w14:paraId="611B8E1A" w14:textId="77777777" w:rsidR="006D5F56" w:rsidRPr="006D5F56" w:rsidRDefault="006D5F56" w:rsidP="006D5F56">
      <w:pPr>
        <w:rPr>
          <w:rFonts w:ascii="Verdana" w:hAnsi="Verdana"/>
        </w:rPr>
      </w:pPr>
      <w:r w:rsidRPr="006D5F56">
        <w:rPr>
          <w:rFonts w:ascii="Verdana" w:hAnsi="Verdana"/>
        </w:rPr>
        <w:t>Several contributors also noted that this collective approach can stimulate the local provider market, with clearer demand and more sustainable commissioning.</w:t>
      </w:r>
    </w:p>
    <w:p w14:paraId="79276AC9" w14:textId="77777777" w:rsidR="006D5F56" w:rsidRPr="006D5F56" w:rsidRDefault="006D5F56" w:rsidP="006D5F56">
      <w:pPr>
        <w:rPr>
          <w:rFonts w:ascii="Verdana" w:hAnsi="Verdana"/>
          <w:b/>
          <w:bCs/>
        </w:rPr>
      </w:pPr>
      <w:r w:rsidRPr="006D5F56">
        <w:rPr>
          <w:rFonts w:ascii="Verdana" w:hAnsi="Verdana"/>
          <w:b/>
          <w:bCs/>
        </w:rPr>
        <w:t>4. Health integration – progress and current limits</w:t>
      </w:r>
    </w:p>
    <w:p w14:paraId="78389E12" w14:textId="77777777" w:rsidR="006D5F56" w:rsidRPr="006D5F56" w:rsidRDefault="006D5F56" w:rsidP="006D5F56">
      <w:pPr>
        <w:rPr>
          <w:rFonts w:ascii="Verdana" w:hAnsi="Verdana"/>
        </w:rPr>
      </w:pPr>
      <w:r w:rsidRPr="006D5F56">
        <w:rPr>
          <w:rFonts w:ascii="Verdana" w:hAnsi="Verdana"/>
        </w:rPr>
        <w:lastRenderedPageBreak/>
        <w:t>Health involvement generated strong interest and honest reflection. While clusters have been a useful mechanism for piloting and spreading health</w:t>
      </w:r>
      <w:r w:rsidRPr="006D5F56">
        <w:rPr>
          <w:rFonts w:ascii="Verdana" w:hAnsi="Verdana"/>
        </w:rPr>
        <w:noBreakHyphen/>
        <w:t xml:space="preserve">related initiatives (for example therapy input and mental health support teams), </w:t>
      </w:r>
      <w:r w:rsidRPr="006D5F56">
        <w:rPr>
          <w:rFonts w:ascii="Verdana" w:hAnsi="Verdana"/>
          <w:b/>
          <w:bCs/>
        </w:rPr>
        <w:t>integration with CAMHS, GPs and school nursing remains limited</w:t>
      </w:r>
      <w:r w:rsidRPr="006D5F56">
        <w:rPr>
          <w:rFonts w:ascii="Verdana" w:hAnsi="Verdana"/>
        </w:rPr>
        <w:t>. CAMHS engagement was described as an ongoing challenge, particularly in relation to anxiety and emotionally based school avoidance.</w:t>
      </w:r>
    </w:p>
    <w:p w14:paraId="2F151EE3" w14:textId="77777777" w:rsidR="006D5F56" w:rsidRPr="006D5F56" w:rsidRDefault="006D5F56" w:rsidP="006D5F56">
      <w:pPr>
        <w:rPr>
          <w:rFonts w:ascii="Verdana" w:hAnsi="Verdana"/>
        </w:rPr>
      </w:pPr>
      <w:r w:rsidRPr="006D5F56">
        <w:rPr>
          <w:rFonts w:ascii="Verdana" w:hAnsi="Verdana"/>
        </w:rPr>
        <w:t>Experience with school nursing suggested that cluster</w:t>
      </w:r>
      <w:r w:rsidRPr="006D5F56">
        <w:rPr>
          <w:rFonts w:ascii="Verdana" w:hAnsi="Verdana"/>
        </w:rPr>
        <w:noBreakHyphen/>
        <w:t>wide parent sessions were less effective than delivery at individual school level, as attendance tended to default to the host school. This nuance is an important design consideration not captured in the slides.</w:t>
      </w:r>
    </w:p>
    <w:p w14:paraId="584EB82A" w14:textId="77777777" w:rsidR="006D5F56" w:rsidRPr="006D5F56" w:rsidRDefault="006D5F56" w:rsidP="006D5F56">
      <w:pPr>
        <w:rPr>
          <w:rFonts w:ascii="Verdana" w:hAnsi="Verdana"/>
          <w:b/>
          <w:bCs/>
        </w:rPr>
      </w:pPr>
      <w:r w:rsidRPr="006D5F56">
        <w:rPr>
          <w:rFonts w:ascii="Verdana" w:hAnsi="Verdana"/>
          <w:b/>
          <w:bCs/>
        </w:rPr>
        <w:t>5. Scale, governance and sustainability lessons</w:t>
      </w:r>
    </w:p>
    <w:p w14:paraId="5EFC0AF5" w14:textId="77777777" w:rsidR="006D5F56" w:rsidRPr="006D5F56" w:rsidRDefault="006D5F56" w:rsidP="006D5F56">
      <w:pPr>
        <w:rPr>
          <w:rFonts w:ascii="Verdana" w:hAnsi="Verdana"/>
        </w:rPr>
      </w:pPr>
      <w:r w:rsidRPr="006D5F56">
        <w:rPr>
          <w:rFonts w:ascii="Verdana" w:hAnsi="Verdana"/>
        </w:rPr>
        <w:t>The South Gloucestershire experience highlighted several practical lessons:</w:t>
      </w:r>
    </w:p>
    <w:p w14:paraId="063D41D5" w14:textId="77777777" w:rsidR="006D5F56" w:rsidRPr="006D5F56" w:rsidRDefault="006D5F56" w:rsidP="006D5F56">
      <w:pPr>
        <w:numPr>
          <w:ilvl w:val="0"/>
          <w:numId w:val="2"/>
        </w:numPr>
        <w:rPr>
          <w:rFonts w:ascii="Verdana" w:hAnsi="Verdana"/>
        </w:rPr>
      </w:pPr>
      <w:r w:rsidRPr="006D5F56">
        <w:rPr>
          <w:rFonts w:ascii="Verdana" w:hAnsi="Verdana"/>
        </w:rPr>
        <w:t>cluster size varies (approximately 16–32 schools), with geography and locality more important than school type</w:t>
      </w:r>
    </w:p>
    <w:p w14:paraId="77134046" w14:textId="77777777" w:rsidR="006D5F56" w:rsidRPr="006D5F56" w:rsidRDefault="006D5F56" w:rsidP="006D5F56">
      <w:pPr>
        <w:numPr>
          <w:ilvl w:val="0"/>
          <w:numId w:val="2"/>
        </w:numPr>
        <w:rPr>
          <w:rFonts w:ascii="Verdana" w:hAnsi="Verdana"/>
        </w:rPr>
      </w:pPr>
      <w:r w:rsidRPr="006D5F56">
        <w:rPr>
          <w:rFonts w:ascii="Verdana" w:hAnsi="Verdana"/>
        </w:rPr>
        <w:t xml:space="preserve">early models underestimated the importance of </w:t>
      </w:r>
      <w:r w:rsidRPr="006D5F56">
        <w:rPr>
          <w:rFonts w:ascii="Verdana" w:hAnsi="Verdana"/>
          <w:b/>
          <w:bCs/>
        </w:rPr>
        <w:t>central support roles</w:t>
      </w:r>
      <w:r w:rsidRPr="006D5F56">
        <w:rPr>
          <w:rFonts w:ascii="Verdana" w:hAnsi="Verdana"/>
        </w:rPr>
        <w:t xml:space="preserve"> such as commissioning, finance and administration</w:t>
      </w:r>
    </w:p>
    <w:p w14:paraId="3895AA9A" w14:textId="77777777" w:rsidR="006D5F56" w:rsidRPr="006D5F56" w:rsidRDefault="006D5F56" w:rsidP="006D5F56">
      <w:pPr>
        <w:numPr>
          <w:ilvl w:val="0"/>
          <w:numId w:val="2"/>
        </w:numPr>
        <w:rPr>
          <w:rFonts w:ascii="Verdana" w:hAnsi="Verdana"/>
        </w:rPr>
      </w:pPr>
      <w:r w:rsidRPr="006D5F56">
        <w:rPr>
          <w:rFonts w:ascii="Verdana" w:hAnsi="Verdana"/>
        </w:rPr>
        <w:t>centralisation of these functions improved consistency, accountability and protected individual schools from financial risk</w:t>
      </w:r>
    </w:p>
    <w:p w14:paraId="60BEA272" w14:textId="77777777" w:rsidR="006D5F56" w:rsidRPr="006D5F56" w:rsidRDefault="006D5F56" w:rsidP="006D5F56">
      <w:pPr>
        <w:numPr>
          <w:ilvl w:val="0"/>
          <w:numId w:val="2"/>
        </w:numPr>
        <w:rPr>
          <w:rFonts w:ascii="Verdana" w:hAnsi="Verdana"/>
        </w:rPr>
      </w:pPr>
      <w:r w:rsidRPr="006D5F56">
        <w:rPr>
          <w:rFonts w:ascii="Verdana" w:hAnsi="Verdana"/>
        </w:rPr>
        <w:t xml:space="preserve">securing </w:t>
      </w:r>
      <w:r w:rsidRPr="006D5F56">
        <w:rPr>
          <w:rFonts w:ascii="Verdana" w:hAnsi="Verdana"/>
          <w:b/>
          <w:bCs/>
        </w:rPr>
        <w:t>multi</w:t>
      </w:r>
      <w:r w:rsidRPr="006D5F56">
        <w:rPr>
          <w:rFonts w:ascii="Verdana" w:hAnsi="Verdana"/>
          <w:b/>
          <w:bCs/>
        </w:rPr>
        <w:noBreakHyphen/>
        <w:t>year funding</w:t>
      </w:r>
      <w:r w:rsidRPr="006D5F56">
        <w:rPr>
          <w:rFonts w:ascii="Verdana" w:hAnsi="Verdana"/>
        </w:rPr>
        <w:t xml:space="preserve"> significantly strengthened commissioning quality and long</w:t>
      </w:r>
      <w:r w:rsidRPr="006D5F56">
        <w:rPr>
          <w:rFonts w:ascii="Verdana" w:hAnsi="Verdana"/>
        </w:rPr>
        <w:noBreakHyphen/>
        <w:t>term planning.</w:t>
      </w:r>
    </w:p>
    <w:p w14:paraId="0C6ADAB7" w14:textId="77777777" w:rsidR="006D5F56" w:rsidRPr="006D5F56" w:rsidRDefault="006D5F56" w:rsidP="006D5F56">
      <w:pPr>
        <w:rPr>
          <w:rFonts w:ascii="Verdana" w:hAnsi="Verdana"/>
          <w:b/>
          <w:bCs/>
        </w:rPr>
      </w:pPr>
      <w:r w:rsidRPr="006D5F56">
        <w:rPr>
          <w:rFonts w:ascii="Verdana" w:hAnsi="Verdana"/>
          <w:b/>
          <w:bCs/>
        </w:rPr>
        <w:t>6. Evidence, impact and data maturity</w:t>
      </w:r>
    </w:p>
    <w:p w14:paraId="7A555626" w14:textId="77777777" w:rsidR="006D5F56" w:rsidRPr="006D5F56" w:rsidRDefault="006D5F56" w:rsidP="006D5F56">
      <w:pPr>
        <w:rPr>
          <w:rFonts w:ascii="Verdana" w:hAnsi="Verdana"/>
        </w:rPr>
      </w:pPr>
      <w:r w:rsidRPr="006D5F56">
        <w:rPr>
          <w:rFonts w:ascii="Verdana" w:hAnsi="Verdana"/>
        </w:rPr>
        <w:t xml:space="preserve">A consistent reflection was that </w:t>
      </w:r>
      <w:r w:rsidRPr="006D5F56">
        <w:rPr>
          <w:rFonts w:ascii="Verdana" w:hAnsi="Verdana"/>
          <w:b/>
          <w:bCs/>
        </w:rPr>
        <w:t>impact frameworks and KPIs were introduced later than ideal</w:t>
      </w:r>
      <w:r w:rsidRPr="006D5F56">
        <w:rPr>
          <w:rFonts w:ascii="Verdana" w:hAnsi="Verdana"/>
        </w:rPr>
        <w:t>. While strategic outcomes were clear from the outset, clusters benefitted once common indicators were agreed, dashboards developed, and commissioning more closely tied to evidence of impact. This was presented candidly as a lesson for others: build impact and evaluation mechanisms early, even if they evolve over time.</w:t>
      </w:r>
    </w:p>
    <w:p w14:paraId="36D6EE6F" w14:textId="77777777" w:rsidR="006D5F56" w:rsidRPr="006D5F56" w:rsidRDefault="006D5F56" w:rsidP="006D5F56">
      <w:pPr>
        <w:rPr>
          <w:rFonts w:ascii="Verdana" w:hAnsi="Verdana"/>
          <w:b/>
          <w:bCs/>
        </w:rPr>
      </w:pPr>
      <w:r w:rsidRPr="006D5F56">
        <w:rPr>
          <w:rFonts w:ascii="Verdana" w:hAnsi="Verdana"/>
          <w:b/>
          <w:bCs/>
        </w:rPr>
        <w:t>7. Equity versus local flexibility</w:t>
      </w:r>
    </w:p>
    <w:p w14:paraId="6E85F143" w14:textId="77777777" w:rsidR="006D5F56" w:rsidRPr="006D5F56" w:rsidRDefault="006D5F56" w:rsidP="006D5F56">
      <w:pPr>
        <w:rPr>
          <w:rFonts w:ascii="Verdana" w:hAnsi="Verdana"/>
        </w:rPr>
      </w:pPr>
      <w:r w:rsidRPr="006D5F56">
        <w:rPr>
          <w:rFonts w:ascii="Verdana" w:hAnsi="Verdana"/>
        </w:rPr>
        <w:t xml:space="preserve">Discussion explored the tension between avoiding postcode variation and allowing responsiveness to local need. South Gloucestershire addressed this by defining a </w:t>
      </w:r>
      <w:r w:rsidRPr="006D5F56">
        <w:rPr>
          <w:rFonts w:ascii="Verdana" w:hAnsi="Verdana"/>
          <w:b/>
          <w:bCs/>
        </w:rPr>
        <w:t>core offer</w:t>
      </w:r>
      <w:r w:rsidRPr="006D5F56">
        <w:rPr>
          <w:rFonts w:ascii="Verdana" w:hAnsi="Verdana"/>
        </w:rPr>
        <w:t xml:space="preserve"> available to all clusters, alongside locally commissioned enhancements. Cornwall participants highlighted this balance as critical, particularly given rurality, access challenges and uneven infrastructure across the county.</w:t>
      </w:r>
    </w:p>
    <w:p w14:paraId="2385887C" w14:textId="77777777" w:rsidR="006D5F56" w:rsidRPr="006D5F56" w:rsidRDefault="006D5F56" w:rsidP="006D5F56">
      <w:pPr>
        <w:rPr>
          <w:rFonts w:ascii="Verdana" w:hAnsi="Verdana"/>
          <w:b/>
          <w:bCs/>
        </w:rPr>
      </w:pPr>
      <w:r w:rsidRPr="006D5F56">
        <w:rPr>
          <w:rFonts w:ascii="Verdana" w:hAnsi="Verdana"/>
          <w:b/>
          <w:bCs/>
        </w:rPr>
        <w:t>8. Relevance for Cornwall – emerging questions</w:t>
      </w:r>
    </w:p>
    <w:p w14:paraId="54D1BB50" w14:textId="77777777" w:rsidR="006D5F56" w:rsidRPr="006D5F56" w:rsidRDefault="006D5F56" w:rsidP="006D5F56">
      <w:pPr>
        <w:rPr>
          <w:rFonts w:ascii="Verdana" w:hAnsi="Verdana"/>
        </w:rPr>
      </w:pPr>
      <w:r w:rsidRPr="006D5F56">
        <w:rPr>
          <w:rFonts w:ascii="Verdana" w:hAnsi="Verdana"/>
        </w:rPr>
        <w:lastRenderedPageBreak/>
        <w:t xml:space="preserve">Rather than proposing replication, the session clarified that Cornwall’s approach should be </w:t>
      </w:r>
      <w:r w:rsidRPr="006D5F56">
        <w:rPr>
          <w:rFonts w:ascii="Verdana" w:hAnsi="Verdana"/>
          <w:b/>
          <w:bCs/>
        </w:rPr>
        <w:t>informed by learning, not copied</w:t>
      </w:r>
      <w:r w:rsidRPr="006D5F56">
        <w:rPr>
          <w:rFonts w:ascii="Verdana" w:hAnsi="Verdana"/>
        </w:rPr>
        <w:t>. Key questions emerging included:</w:t>
      </w:r>
    </w:p>
    <w:p w14:paraId="0D0BC3BB" w14:textId="77777777" w:rsidR="006D5F56" w:rsidRPr="006D5F56" w:rsidRDefault="006D5F56" w:rsidP="006D5F56">
      <w:pPr>
        <w:numPr>
          <w:ilvl w:val="0"/>
          <w:numId w:val="3"/>
        </w:numPr>
        <w:rPr>
          <w:rFonts w:ascii="Verdana" w:hAnsi="Verdana"/>
        </w:rPr>
      </w:pPr>
      <w:r w:rsidRPr="006D5F56">
        <w:rPr>
          <w:rFonts w:ascii="Verdana" w:hAnsi="Verdana"/>
        </w:rPr>
        <w:t>how best to align clusters with clear geographic or health boundaries</w:t>
      </w:r>
    </w:p>
    <w:p w14:paraId="1760A458" w14:textId="77777777" w:rsidR="006D5F56" w:rsidRPr="006D5F56" w:rsidRDefault="006D5F56" w:rsidP="006D5F56">
      <w:pPr>
        <w:numPr>
          <w:ilvl w:val="0"/>
          <w:numId w:val="3"/>
        </w:numPr>
        <w:rPr>
          <w:rFonts w:ascii="Verdana" w:hAnsi="Verdana"/>
        </w:rPr>
      </w:pPr>
      <w:r w:rsidRPr="006D5F56">
        <w:rPr>
          <w:rFonts w:ascii="Verdana" w:hAnsi="Verdana"/>
        </w:rPr>
        <w:t>how clusters might support “Best Start in Life” and early intervention priorities</w:t>
      </w:r>
    </w:p>
    <w:p w14:paraId="718D7B6A" w14:textId="77777777" w:rsidR="006D5F56" w:rsidRPr="006D5F56" w:rsidRDefault="006D5F56" w:rsidP="006D5F56">
      <w:pPr>
        <w:numPr>
          <w:ilvl w:val="0"/>
          <w:numId w:val="3"/>
        </w:numPr>
        <w:rPr>
          <w:rFonts w:ascii="Verdana" w:hAnsi="Verdana"/>
        </w:rPr>
      </w:pPr>
      <w:r w:rsidRPr="006D5F56">
        <w:rPr>
          <w:rFonts w:ascii="Verdana" w:hAnsi="Verdana"/>
        </w:rPr>
        <w:t>how health partners would want to define and measure impact (for example on waiting lists)</w:t>
      </w:r>
    </w:p>
    <w:p w14:paraId="5BC47B3B" w14:textId="77777777" w:rsidR="006D5F56" w:rsidRPr="006D5F56" w:rsidRDefault="006D5F56" w:rsidP="006D5F56">
      <w:pPr>
        <w:numPr>
          <w:ilvl w:val="0"/>
          <w:numId w:val="3"/>
        </w:numPr>
        <w:rPr>
          <w:rFonts w:ascii="Verdana" w:hAnsi="Verdana"/>
        </w:rPr>
      </w:pPr>
      <w:r w:rsidRPr="006D5F56">
        <w:rPr>
          <w:rFonts w:ascii="Verdana" w:hAnsi="Verdana"/>
        </w:rPr>
        <w:t>how to secure strong secondary school engagement from the outset.</w:t>
      </w:r>
    </w:p>
    <w:p w14:paraId="1BB86BAA" w14:textId="77777777" w:rsidR="006D5F56" w:rsidRPr="006D5F56" w:rsidRDefault="006D5F56" w:rsidP="006D5F56">
      <w:pPr>
        <w:rPr>
          <w:rFonts w:ascii="Verdana" w:hAnsi="Verdana"/>
          <w:b/>
          <w:bCs/>
        </w:rPr>
      </w:pPr>
      <w:r w:rsidRPr="006D5F56">
        <w:rPr>
          <w:rFonts w:ascii="Verdana" w:hAnsi="Verdana"/>
          <w:b/>
          <w:bCs/>
        </w:rPr>
        <w:t>9. Appetite for co</w:t>
      </w:r>
      <w:r w:rsidRPr="006D5F56">
        <w:rPr>
          <w:rFonts w:ascii="Verdana" w:hAnsi="Verdana"/>
          <w:b/>
          <w:bCs/>
        </w:rPr>
        <w:noBreakHyphen/>
        <w:t>design</w:t>
      </w:r>
    </w:p>
    <w:p w14:paraId="0D071B73" w14:textId="77777777" w:rsidR="006D5F56" w:rsidRPr="006D5F56" w:rsidRDefault="006D5F56" w:rsidP="006D5F56">
      <w:pPr>
        <w:rPr>
          <w:rFonts w:ascii="Verdana" w:hAnsi="Verdana"/>
        </w:rPr>
      </w:pPr>
      <w:r w:rsidRPr="006D5F56">
        <w:rPr>
          <w:rFonts w:ascii="Verdana" w:hAnsi="Verdana"/>
        </w:rPr>
        <w:t xml:space="preserve">Finally, there was clear enthusiasm across education, health and council colleagues to </w:t>
      </w:r>
      <w:r w:rsidRPr="006D5F56">
        <w:rPr>
          <w:rFonts w:ascii="Verdana" w:hAnsi="Verdana"/>
          <w:b/>
          <w:bCs/>
        </w:rPr>
        <w:t>co</w:t>
      </w:r>
      <w:r w:rsidRPr="006D5F56">
        <w:rPr>
          <w:rFonts w:ascii="Verdana" w:hAnsi="Verdana"/>
          <w:b/>
          <w:bCs/>
        </w:rPr>
        <w:noBreakHyphen/>
        <w:t>design the next phase</w:t>
      </w:r>
      <w:r w:rsidRPr="006D5F56">
        <w:rPr>
          <w:rFonts w:ascii="Verdana" w:hAnsi="Verdana"/>
        </w:rPr>
        <w:t>, rather than implement a pre</w:t>
      </w:r>
      <w:r w:rsidRPr="006D5F56">
        <w:rPr>
          <w:rFonts w:ascii="Verdana" w:hAnsi="Verdana"/>
        </w:rPr>
        <w:noBreakHyphen/>
        <w:t>defined model. Volunteers to support future sessions were noted, reinforcing that this is being approached as a shared system</w:t>
      </w:r>
      <w:r w:rsidRPr="006D5F56">
        <w:rPr>
          <w:rFonts w:ascii="Verdana" w:hAnsi="Verdana"/>
        </w:rPr>
        <w:noBreakHyphen/>
        <w:t>learning process.</w:t>
      </w:r>
    </w:p>
    <w:p w14:paraId="5B9EE391" w14:textId="77777777" w:rsidR="0005295E" w:rsidRPr="00002FD1" w:rsidRDefault="0005295E">
      <w:pPr>
        <w:rPr>
          <w:rFonts w:ascii="Verdana" w:hAnsi="Verdana"/>
        </w:rPr>
      </w:pPr>
    </w:p>
    <w:sectPr w:rsidR="0005295E" w:rsidRPr="00002FD1">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8526" w14:textId="77777777" w:rsidR="00516896" w:rsidRDefault="00516896" w:rsidP="006D5F56">
      <w:pPr>
        <w:spacing w:after="0" w:line="240" w:lineRule="auto"/>
      </w:pPr>
      <w:r>
        <w:separator/>
      </w:r>
    </w:p>
  </w:endnote>
  <w:endnote w:type="continuationSeparator" w:id="0">
    <w:p w14:paraId="766BC984" w14:textId="77777777" w:rsidR="00516896" w:rsidRDefault="00516896" w:rsidP="006D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B6A3" w14:textId="77777777" w:rsidR="00516896" w:rsidRDefault="00516896" w:rsidP="006D5F56">
      <w:pPr>
        <w:spacing w:after="0" w:line="240" w:lineRule="auto"/>
      </w:pPr>
      <w:r>
        <w:separator/>
      </w:r>
    </w:p>
  </w:footnote>
  <w:footnote w:type="continuationSeparator" w:id="0">
    <w:p w14:paraId="2E73C305" w14:textId="77777777" w:rsidR="00516896" w:rsidRDefault="00516896" w:rsidP="006D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D466" w14:textId="4DE57D7F" w:rsidR="006D5F56" w:rsidRDefault="006D5F56">
    <w:pPr>
      <w:pStyle w:val="Header"/>
    </w:pPr>
    <w:r>
      <w:rPr>
        <w:noProof/>
      </w:rPr>
      <mc:AlternateContent>
        <mc:Choice Requires="wps">
          <w:drawing>
            <wp:anchor distT="0" distB="0" distL="0" distR="0" simplePos="0" relativeHeight="251659264" behindDoc="0" locked="0" layoutInCell="1" allowOverlap="1" wp14:anchorId="780C3E62" wp14:editId="799D0C24">
              <wp:simplePos x="635" y="635"/>
              <wp:positionH relativeFrom="page">
                <wp:align>right</wp:align>
              </wp:positionH>
              <wp:positionV relativeFrom="page">
                <wp:align>top</wp:align>
              </wp:positionV>
              <wp:extent cx="2517140" cy="368935"/>
              <wp:effectExtent l="0" t="0" r="0" b="12065"/>
              <wp:wrapNone/>
              <wp:docPr id="212129670"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17140" cy="368935"/>
                      </a:xfrm>
                      <a:prstGeom prst="rect">
                        <a:avLst/>
                      </a:prstGeom>
                      <a:noFill/>
                      <a:ln>
                        <a:noFill/>
                      </a:ln>
                    </wps:spPr>
                    <wps:txbx>
                      <w:txbxContent>
                        <w:p w14:paraId="22FD2029" w14:textId="63C79896" w:rsidR="006D5F56" w:rsidRPr="006D5F56" w:rsidRDefault="006D5F56" w:rsidP="006D5F56">
                          <w:pPr>
                            <w:spacing w:after="0"/>
                            <w:rPr>
                              <w:rFonts w:ascii="Aptos" w:eastAsia="Aptos" w:hAnsi="Aptos" w:cs="Aptos"/>
                              <w:noProof/>
                              <w:color w:val="FF8C00"/>
                              <w:sz w:val="20"/>
                              <w:szCs w:val="20"/>
                            </w:rPr>
                          </w:pPr>
                          <w:r w:rsidRPr="006D5F56">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0C3E62" id="_x0000_t202" coordsize="21600,21600" o:spt="202" path="m,l,21600r21600,l21600,xe">
              <v:stroke joinstyle="miter"/>
              <v:path gradientshapeok="t" o:connecttype="rect"/>
            </v:shapetype>
            <v:shape id="Text Box 2" o:spid="_x0000_s1026" type="#_x0000_t202" alt="Information Classification: CONTROLLED" style="position:absolute;margin-left:147pt;margin-top:0;width:198.2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" filled="f" stroked="f">
              <v:fill o:detectmouseclick="t"/>
              <v:textbox style="mso-fit-shape-to-text:t" inset="0,15pt,20pt,0">
                <w:txbxContent>
                  <w:p w14:paraId="22FD2029" w14:textId="63C79896" w:rsidR="006D5F56" w:rsidRPr="006D5F56" w:rsidRDefault="006D5F56" w:rsidP="006D5F56">
                    <w:pPr>
                      <w:spacing w:after="0"/>
                      <w:rPr>
                        <w:rFonts w:ascii="Aptos" w:eastAsia="Aptos" w:hAnsi="Aptos" w:cs="Aptos"/>
                        <w:noProof/>
                        <w:color w:val="FF8C00"/>
                        <w:sz w:val="20"/>
                        <w:szCs w:val="20"/>
                      </w:rPr>
                    </w:pPr>
                    <w:r w:rsidRPr="006D5F56">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3FB9" w14:textId="0A84E039" w:rsidR="006D5F56" w:rsidRDefault="006D5F56">
    <w:pPr>
      <w:pStyle w:val="Header"/>
    </w:pPr>
    <w:r>
      <w:rPr>
        <w:noProof/>
      </w:rPr>
      <mc:AlternateContent>
        <mc:Choice Requires="wps">
          <w:drawing>
            <wp:anchor distT="0" distB="0" distL="0" distR="0" simplePos="0" relativeHeight="251660288" behindDoc="0" locked="0" layoutInCell="1" allowOverlap="1" wp14:anchorId="269A9784" wp14:editId="5A42D791">
              <wp:simplePos x="914400" y="447675"/>
              <wp:positionH relativeFrom="page">
                <wp:align>right</wp:align>
              </wp:positionH>
              <wp:positionV relativeFrom="page">
                <wp:align>top</wp:align>
              </wp:positionV>
              <wp:extent cx="2517140" cy="368935"/>
              <wp:effectExtent l="0" t="0" r="0" b="12065"/>
              <wp:wrapNone/>
              <wp:docPr id="166583023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17140" cy="368935"/>
                      </a:xfrm>
                      <a:prstGeom prst="rect">
                        <a:avLst/>
                      </a:prstGeom>
                      <a:noFill/>
                      <a:ln>
                        <a:noFill/>
                      </a:ln>
                    </wps:spPr>
                    <wps:txbx>
                      <w:txbxContent>
                        <w:p w14:paraId="51FC2879" w14:textId="51A97C3A" w:rsidR="006D5F56" w:rsidRPr="006D5F56" w:rsidRDefault="006D5F56" w:rsidP="006D5F56">
                          <w:pPr>
                            <w:spacing w:after="0"/>
                            <w:rPr>
                              <w:rFonts w:ascii="Aptos" w:eastAsia="Aptos" w:hAnsi="Aptos" w:cs="Aptos"/>
                              <w:noProof/>
                              <w:color w:val="FF8C00"/>
                              <w:sz w:val="20"/>
                              <w:szCs w:val="20"/>
                            </w:rPr>
                          </w:pPr>
                          <w:r w:rsidRPr="006D5F56">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9A9784" id="_x0000_t202" coordsize="21600,21600" o:spt="202" path="m,l,21600r21600,l21600,xe">
              <v:stroke joinstyle="miter"/>
              <v:path gradientshapeok="t" o:connecttype="rect"/>
            </v:shapetype>
            <v:shape id="Text Box 3" o:spid="_x0000_s1027" type="#_x0000_t202" alt="Information Classification: CONTROLLED" style="position:absolute;margin-left:147pt;margin-top:0;width:198.2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" filled="f" stroked="f">
              <v:fill o:detectmouseclick="t"/>
              <v:textbox style="mso-fit-shape-to-text:t" inset="0,15pt,20pt,0">
                <w:txbxContent>
                  <w:p w14:paraId="51FC2879" w14:textId="51A97C3A" w:rsidR="006D5F56" w:rsidRPr="006D5F56" w:rsidRDefault="006D5F56" w:rsidP="006D5F56">
                    <w:pPr>
                      <w:spacing w:after="0"/>
                      <w:rPr>
                        <w:rFonts w:ascii="Aptos" w:eastAsia="Aptos" w:hAnsi="Aptos" w:cs="Aptos"/>
                        <w:noProof/>
                        <w:color w:val="FF8C00"/>
                        <w:sz w:val="20"/>
                        <w:szCs w:val="20"/>
                      </w:rPr>
                    </w:pPr>
                    <w:r w:rsidRPr="006D5F56">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6AF8" w14:textId="5E1FE2DF" w:rsidR="006D5F56" w:rsidRDefault="006D5F56">
    <w:pPr>
      <w:pStyle w:val="Header"/>
    </w:pPr>
    <w:r>
      <w:rPr>
        <w:noProof/>
      </w:rPr>
      <mc:AlternateContent>
        <mc:Choice Requires="wps">
          <w:drawing>
            <wp:anchor distT="0" distB="0" distL="0" distR="0" simplePos="0" relativeHeight="251658240" behindDoc="0" locked="0" layoutInCell="1" allowOverlap="1" wp14:anchorId="084F7376" wp14:editId="29EC2026">
              <wp:simplePos x="635" y="635"/>
              <wp:positionH relativeFrom="page">
                <wp:align>right</wp:align>
              </wp:positionH>
              <wp:positionV relativeFrom="page">
                <wp:align>top</wp:align>
              </wp:positionV>
              <wp:extent cx="2517140" cy="368935"/>
              <wp:effectExtent l="0" t="0" r="0" b="12065"/>
              <wp:wrapNone/>
              <wp:docPr id="268258752"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17140" cy="368935"/>
                      </a:xfrm>
                      <a:prstGeom prst="rect">
                        <a:avLst/>
                      </a:prstGeom>
                      <a:noFill/>
                      <a:ln>
                        <a:noFill/>
                      </a:ln>
                    </wps:spPr>
                    <wps:txbx>
                      <w:txbxContent>
                        <w:p w14:paraId="727C8D9E" w14:textId="2F51CF39" w:rsidR="006D5F56" w:rsidRPr="006D5F56" w:rsidRDefault="006D5F56" w:rsidP="006D5F56">
                          <w:pPr>
                            <w:spacing w:after="0"/>
                            <w:rPr>
                              <w:rFonts w:ascii="Aptos" w:eastAsia="Aptos" w:hAnsi="Aptos" w:cs="Aptos"/>
                              <w:noProof/>
                              <w:color w:val="FF8C00"/>
                              <w:sz w:val="20"/>
                              <w:szCs w:val="20"/>
                            </w:rPr>
                          </w:pPr>
                          <w:r w:rsidRPr="006D5F56">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4F7376" id="_x0000_t202" coordsize="21600,21600" o:spt="202" path="m,l,21600r21600,l21600,xe">
              <v:stroke joinstyle="miter"/>
              <v:path gradientshapeok="t" o:connecttype="rect"/>
            </v:shapetype>
            <v:shape id="Text Box 1" o:spid="_x0000_s1028" type="#_x0000_t202" alt="Information Classification: CONTROLLED" style="position:absolute;margin-left:147pt;margin-top:0;width:198.2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" filled="f" stroked="f">
              <v:fill o:detectmouseclick="t"/>
              <v:textbox style="mso-fit-shape-to-text:t" inset="0,15pt,20pt,0">
                <w:txbxContent>
                  <w:p w14:paraId="727C8D9E" w14:textId="2F51CF39" w:rsidR="006D5F56" w:rsidRPr="006D5F56" w:rsidRDefault="006D5F56" w:rsidP="006D5F56">
                    <w:pPr>
                      <w:spacing w:after="0"/>
                      <w:rPr>
                        <w:rFonts w:ascii="Aptos" w:eastAsia="Aptos" w:hAnsi="Aptos" w:cs="Aptos"/>
                        <w:noProof/>
                        <w:color w:val="FF8C00"/>
                        <w:sz w:val="20"/>
                        <w:szCs w:val="20"/>
                      </w:rPr>
                    </w:pPr>
                    <w:r w:rsidRPr="006D5F56">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82E5C"/>
    <w:multiLevelType w:val="multilevel"/>
    <w:tmpl w:val="743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FB27FD"/>
    <w:multiLevelType w:val="multilevel"/>
    <w:tmpl w:val="C00E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04724"/>
    <w:multiLevelType w:val="multilevel"/>
    <w:tmpl w:val="F76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16738">
    <w:abstractNumId w:val="1"/>
  </w:num>
  <w:num w:numId="2" w16cid:durableId="340620808">
    <w:abstractNumId w:val="2"/>
  </w:num>
  <w:num w:numId="3" w16cid:durableId="74287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3261"/>
    <w:rsid w:val="00002FD1"/>
    <w:rsid w:val="0005295E"/>
    <w:rsid w:val="00335136"/>
    <w:rsid w:val="004604B5"/>
    <w:rsid w:val="00516896"/>
    <w:rsid w:val="005E58CF"/>
    <w:rsid w:val="006D5F56"/>
    <w:rsid w:val="008C3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F610"/>
  <w15:chartTrackingRefBased/>
  <w15:docId w15:val="{74CFEA07-4211-481F-A9B3-B24DCC00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C32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32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32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32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3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C32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C32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32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32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3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261"/>
    <w:rPr>
      <w:rFonts w:eastAsiaTheme="majorEastAsia" w:cstheme="majorBidi"/>
      <w:color w:val="272727" w:themeColor="text1" w:themeTint="D8"/>
    </w:rPr>
  </w:style>
  <w:style w:type="paragraph" w:styleId="Title">
    <w:name w:val="Title"/>
    <w:basedOn w:val="Normal"/>
    <w:next w:val="Normal"/>
    <w:link w:val="TitleChar"/>
    <w:uiPriority w:val="10"/>
    <w:qFormat/>
    <w:rsid w:val="008C3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2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2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3261"/>
    <w:rPr>
      <w:i/>
      <w:iCs/>
      <w:color w:val="404040" w:themeColor="text1" w:themeTint="BF"/>
    </w:rPr>
  </w:style>
  <w:style w:type="paragraph" w:styleId="ListParagraph">
    <w:name w:val="List Paragraph"/>
    <w:basedOn w:val="Normal"/>
    <w:uiPriority w:val="34"/>
    <w:qFormat/>
    <w:rsid w:val="008C3261"/>
    <w:pPr>
      <w:ind w:left="720"/>
      <w:contextualSpacing/>
    </w:pPr>
  </w:style>
  <w:style w:type="character" w:styleId="IntenseEmphasis">
    <w:name w:val="Intense Emphasis"/>
    <w:basedOn w:val="DefaultParagraphFont"/>
    <w:uiPriority w:val="21"/>
    <w:qFormat/>
    <w:rsid w:val="008C3261"/>
    <w:rPr>
      <w:i/>
      <w:iCs/>
      <w:color w:val="365F91" w:themeColor="accent1" w:themeShade="BF"/>
    </w:rPr>
  </w:style>
  <w:style w:type="paragraph" w:styleId="IntenseQuote">
    <w:name w:val="Intense Quote"/>
    <w:basedOn w:val="Normal"/>
    <w:next w:val="Normal"/>
    <w:link w:val="IntenseQuoteChar"/>
    <w:uiPriority w:val="30"/>
    <w:qFormat/>
    <w:rsid w:val="008C32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3261"/>
    <w:rPr>
      <w:i/>
      <w:iCs/>
      <w:color w:val="365F91" w:themeColor="accent1" w:themeShade="BF"/>
    </w:rPr>
  </w:style>
  <w:style w:type="character" w:styleId="IntenseReference">
    <w:name w:val="Intense Reference"/>
    <w:basedOn w:val="DefaultParagraphFont"/>
    <w:uiPriority w:val="32"/>
    <w:qFormat/>
    <w:rsid w:val="008C3261"/>
    <w:rPr>
      <w:b/>
      <w:bCs/>
      <w:smallCaps/>
      <w:color w:val="365F91" w:themeColor="accent1" w:themeShade="BF"/>
      <w:spacing w:val="5"/>
    </w:rPr>
  </w:style>
  <w:style w:type="paragraph" w:styleId="Header">
    <w:name w:val="header"/>
    <w:basedOn w:val="Normal"/>
    <w:link w:val="HeaderChar"/>
    <w:uiPriority w:val="99"/>
    <w:unhideWhenUsed/>
    <w:rsid w:val="006D5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4380</Characters>
  <Application>Microsoft Office Word</Application>
  <DocSecurity>0</DocSecurity>
  <Lines>84</Lines>
  <Paragraphs>40</Paragraphs>
  <ScaleCrop>false</ScaleCrop>
  <Company>Cornwall Council</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Davies (Project Manager)</dc:creator>
  <cp:keywords/>
  <dc:description/>
  <cp:lastModifiedBy>James Davies (Project Manager)</cp:lastModifiedBy>
  <cp:revision>3</cp:revision>
  <dcterms:created xsi:type="dcterms:W3CDTF">2026-03-10T08:07:00Z</dcterms:created>
  <dcterms:modified xsi:type="dcterms:W3CDTF">2026-03-10T08:08:00Z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ffd4dc0,ca4d786,634a8d59</vt:lpwstr>
  </property>
  <property fmtid="{D5CDD505-2E9C-101B-9397-08002B2CF9AE}" pid="3" name="ClassificationContentMarkingHeaderFontProps">
    <vt:lpwstr>#ff8c00,10,Aptos</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2026-03-10T08:07:30Z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725543a2-3790-42e1-b503-24d233f36005</vt:lpwstr>
  </property>
  <property fmtid="{D5CDD505-2E9C-101B-9397-08002B2CF9AE}" pid="11" name="MSIP_Label_65bade86-969a-4cfc-8d70-99d1f0adeaba_ContentBits">
    <vt:lpwstr>1</vt:lpwstr>
  </property>
  <property fmtid="{D5CDD505-2E9C-101B-9397-08002B2CF9AE}" pid="12" name="MSIP_Label_65bade86-969a-4cfc-8d70-99d1f0adeaba_Tag">
    <vt:lpwstr>10, 0, 1, 1</vt:lpwstr>
  </property>
</Properties>
</file>