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CC99FF" w:fill="99CCFF"/>
        <w:tblLook w:val="00A0" w:firstRow="1" w:lastRow="0" w:firstColumn="1" w:lastColumn="0" w:noHBand="0" w:noVBand="0"/>
      </w:tblPr>
      <w:tblGrid>
        <w:gridCol w:w="2127"/>
        <w:gridCol w:w="3402"/>
        <w:gridCol w:w="2268"/>
        <w:gridCol w:w="2693"/>
      </w:tblGrid>
      <w:tr w:rsidR="00237077" w:rsidRPr="0015099A" w14:paraId="5BA0DA1A" w14:textId="77777777" w:rsidTr="00904A03">
        <w:tc>
          <w:tcPr>
            <w:tcW w:w="10490" w:type="dxa"/>
            <w:gridSpan w:val="4"/>
            <w:tcBorders>
              <w:bottom w:val="single" w:sz="4" w:space="0" w:color="808080"/>
            </w:tcBorders>
            <w:shd w:val="clear" w:color="auto" w:fill="95B3D7" w:themeFill="accent1" w:themeFillTint="99"/>
          </w:tcPr>
          <w:p w14:paraId="698CDA55" w14:textId="14F2A7EC" w:rsidR="00237077" w:rsidRPr="0015099A" w:rsidRDefault="00237077" w:rsidP="00D07122">
            <w:pPr>
              <w:pStyle w:val="04TCCCTableCentresubhead"/>
            </w:pPr>
            <w:r w:rsidRPr="0015099A">
              <w:t xml:space="preserve">General </w:t>
            </w:r>
            <w:r>
              <w:t>Workstream</w:t>
            </w:r>
            <w:r w:rsidRPr="0015099A">
              <w:t xml:space="preserve"> Information</w:t>
            </w:r>
          </w:p>
        </w:tc>
      </w:tr>
      <w:tr w:rsidR="00237077" w:rsidRPr="0015099A" w14:paraId="065989A5" w14:textId="77777777" w:rsidTr="00904A03">
        <w:tc>
          <w:tcPr>
            <w:tcW w:w="2127" w:type="dxa"/>
            <w:shd w:val="clear" w:color="auto" w:fill="95B3D7" w:themeFill="accent1" w:themeFillTint="99"/>
          </w:tcPr>
          <w:p w14:paraId="44DBEE83" w14:textId="527B0DA8" w:rsidR="00237077" w:rsidRPr="0015099A" w:rsidRDefault="00BC6F55" w:rsidP="00904A03">
            <w:pPr>
              <w:rPr>
                <w:b/>
              </w:rPr>
            </w:pPr>
            <w:r>
              <w:rPr>
                <w:b/>
              </w:rPr>
              <w:t xml:space="preserve">WS </w:t>
            </w:r>
            <w:r w:rsidR="00237077">
              <w:rPr>
                <w:b/>
              </w:rPr>
              <w:t>Lead</w:t>
            </w:r>
            <w:r w:rsidR="0063023E">
              <w:rPr>
                <w:b/>
              </w:rPr>
              <w:t>(s)</w:t>
            </w:r>
          </w:p>
        </w:tc>
        <w:tc>
          <w:tcPr>
            <w:tcW w:w="3402" w:type="dxa"/>
            <w:shd w:val="clear" w:color="CC99FF" w:fill="FFFFFF"/>
          </w:tcPr>
          <w:p w14:paraId="4459F3FA" w14:textId="3DA0AFA6" w:rsidR="00237077" w:rsidRPr="004E3235" w:rsidRDefault="00943C7E" w:rsidP="00904A03">
            <w:r>
              <w:t>Various</w:t>
            </w:r>
          </w:p>
        </w:tc>
        <w:tc>
          <w:tcPr>
            <w:tcW w:w="2268" w:type="dxa"/>
            <w:shd w:val="clear" w:color="auto" w:fill="95B3D7" w:themeFill="accent1" w:themeFillTint="99"/>
          </w:tcPr>
          <w:p w14:paraId="49F1963C" w14:textId="77777777" w:rsidR="00237077" w:rsidRPr="0015099A" w:rsidRDefault="00237077" w:rsidP="00904A03">
            <w:pPr>
              <w:rPr>
                <w:b/>
              </w:rPr>
            </w:pPr>
            <w:r>
              <w:rPr>
                <w:b/>
              </w:rPr>
              <w:t>Reporting P</w:t>
            </w:r>
            <w:r w:rsidRPr="00656A80">
              <w:rPr>
                <w:b/>
              </w:rPr>
              <w:t>eriod:</w:t>
            </w:r>
          </w:p>
        </w:tc>
        <w:tc>
          <w:tcPr>
            <w:tcW w:w="2693" w:type="dxa"/>
            <w:shd w:val="clear" w:color="CC99FF" w:fill="FFFFFF"/>
          </w:tcPr>
          <w:p w14:paraId="541D6286" w14:textId="07322FFC" w:rsidR="00237077" w:rsidRPr="004E3235" w:rsidRDefault="0088705C" w:rsidP="00904A03">
            <w:r>
              <w:t>05/02</w:t>
            </w:r>
            <w:r w:rsidR="00A11BFB">
              <w:t xml:space="preserve"> – 22/04</w:t>
            </w:r>
          </w:p>
        </w:tc>
      </w:tr>
      <w:tr w:rsidR="00237077" w:rsidRPr="0015099A" w14:paraId="4BE4EFBB" w14:textId="77777777" w:rsidTr="00904A03">
        <w:tc>
          <w:tcPr>
            <w:tcW w:w="2127" w:type="dxa"/>
            <w:shd w:val="clear" w:color="auto" w:fill="95B3D7" w:themeFill="accent1" w:themeFillTint="99"/>
          </w:tcPr>
          <w:p w14:paraId="3402460D" w14:textId="551D8D40" w:rsidR="00237077" w:rsidRPr="0015099A" w:rsidRDefault="007964FE" w:rsidP="00904A03">
            <w:pPr>
              <w:rPr>
                <w:b/>
              </w:rPr>
            </w:pPr>
            <w:r w:rsidRPr="007964FE">
              <w:rPr>
                <w:b/>
              </w:rPr>
              <w:t>Responsible Person</w:t>
            </w:r>
            <w:r w:rsidR="00237077">
              <w:rPr>
                <w:b/>
              </w:rPr>
              <w:t>:</w:t>
            </w:r>
          </w:p>
        </w:tc>
        <w:tc>
          <w:tcPr>
            <w:tcW w:w="3402" w:type="dxa"/>
            <w:shd w:val="clear" w:color="CC99FF" w:fill="FFFFFF"/>
          </w:tcPr>
          <w:p w14:paraId="564622A9" w14:textId="64B84639" w:rsidR="00237077" w:rsidRPr="004E3235" w:rsidRDefault="0063023E" w:rsidP="00904A03">
            <w:r>
              <w:t>Rachel Delo</w:t>
            </w:r>
            <w:r w:rsidR="007964FE">
              <w:t>u</w:t>
            </w:r>
            <w:r>
              <w:t>rme</w:t>
            </w:r>
          </w:p>
        </w:tc>
        <w:tc>
          <w:tcPr>
            <w:tcW w:w="2268" w:type="dxa"/>
            <w:shd w:val="clear" w:color="auto" w:fill="95B3D7" w:themeFill="accent1" w:themeFillTint="99"/>
          </w:tcPr>
          <w:p w14:paraId="5BAC813D" w14:textId="77777777" w:rsidR="00237077" w:rsidRPr="0015099A" w:rsidRDefault="00237077" w:rsidP="00904A03">
            <w:pPr>
              <w:rPr>
                <w:b/>
              </w:rPr>
            </w:pPr>
            <w:r w:rsidRPr="0015099A">
              <w:rPr>
                <w:b/>
              </w:rPr>
              <w:t>Date</w:t>
            </w:r>
            <w:r>
              <w:rPr>
                <w:b/>
              </w:rPr>
              <w:t xml:space="preserve"> Written</w:t>
            </w:r>
            <w:r w:rsidRPr="0015099A">
              <w:rPr>
                <w:b/>
              </w:rPr>
              <w:t>:</w:t>
            </w:r>
          </w:p>
        </w:tc>
        <w:tc>
          <w:tcPr>
            <w:tcW w:w="2693" w:type="dxa"/>
            <w:shd w:val="clear" w:color="CC99FF" w:fill="FFFFFF"/>
          </w:tcPr>
          <w:p w14:paraId="03E6E4D2" w14:textId="7E2EC34F" w:rsidR="00A11BFB" w:rsidRPr="004E3235" w:rsidRDefault="00A11BFB" w:rsidP="00904A03">
            <w:r>
              <w:t>23/4</w:t>
            </w:r>
          </w:p>
        </w:tc>
      </w:tr>
      <w:tr w:rsidR="00237077" w:rsidRPr="00D04FE0" w14:paraId="61F27F4B" w14:textId="77777777" w:rsidTr="00904A03">
        <w:tc>
          <w:tcPr>
            <w:tcW w:w="2127" w:type="dxa"/>
            <w:shd w:val="clear" w:color="auto" w:fill="95B3D7" w:themeFill="accent1" w:themeFillTint="99"/>
          </w:tcPr>
          <w:p w14:paraId="28CDAF8D" w14:textId="1B6FA18C" w:rsidR="00237077" w:rsidRPr="0015099A" w:rsidRDefault="006F1CBB" w:rsidP="00904A03">
            <w:pPr>
              <w:rPr>
                <w:b/>
              </w:rPr>
            </w:pPr>
            <w:r>
              <w:rPr>
                <w:b/>
              </w:rPr>
              <w:t>Written by:</w:t>
            </w:r>
          </w:p>
        </w:tc>
        <w:tc>
          <w:tcPr>
            <w:tcW w:w="3402" w:type="dxa"/>
            <w:shd w:val="clear" w:color="CC99FF" w:fill="FFFFFF"/>
          </w:tcPr>
          <w:p w14:paraId="75D48D29" w14:textId="766A8F5D" w:rsidR="00237077" w:rsidRPr="004E3235" w:rsidRDefault="00943C7E" w:rsidP="00904A03">
            <w:r>
              <w:t>RD/JD</w:t>
            </w:r>
          </w:p>
        </w:tc>
        <w:tc>
          <w:tcPr>
            <w:tcW w:w="2268" w:type="dxa"/>
            <w:shd w:val="clear" w:color="auto" w:fill="95B3D7" w:themeFill="accent1" w:themeFillTint="99"/>
          </w:tcPr>
          <w:p w14:paraId="76384F09" w14:textId="10157CC4" w:rsidR="00237077" w:rsidRPr="00153652" w:rsidRDefault="00237077" w:rsidP="00904A03">
            <w:pPr>
              <w:rPr>
                <w:b/>
                <w:sz w:val="16"/>
                <w:szCs w:val="16"/>
              </w:rPr>
            </w:pPr>
          </w:p>
        </w:tc>
        <w:tc>
          <w:tcPr>
            <w:tcW w:w="2693" w:type="dxa"/>
            <w:shd w:val="clear" w:color="CC99FF" w:fill="FFFFFF"/>
          </w:tcPr>
          <w:p w14:paraId="693CF0E5" w14:textId="77777777" w:rsidR="00237077" w:rsidRPr="004E3235" w:rsidRDefault="00237077" w:rsidP="00904A03"/>
        </w:tc>
      </w:tr>
    </w:tbl>
    <w:p w14:paraId="62FF4144" w14:textId="77777777" w:rsidR="00DF2D7A" w:rsidRPr="00BC6F55" w:rsidRDefault="00DF2D7A">
      <w:pPr>
        <w:rPr>
          <w:sz w:val="6"/>
          <w:szCs w:val="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9497"/>
      </w:tblGrid>
      <w:tr w:rsidR="00FC0BCD" w:rsidRPr="006D5198" w14:paraId="247C20FE" w14:textId="77777777" w:rsidTr="19960335">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5B3D7" w:themeFill="accent1" w:themeFillTint="99"/>
            <w:vAlign w:val="center"/>
            <w:hideMark/>
          </w:tcPr>
          <w:p w14:paraId="1485EFD3" w14:textId="77777777" w:rsidR="00FC0BCD" w:rsidRPr="006D5198" w:rsidRDefault="00FC0BCD" w:rsidP="00904A03">
            <w:pPr>
              <w:rPr>
                <w:b/>
              </w:rPr>
            </w:pPr>
            <w:r>
              <w:rPr>
                <w:b/>
              </w:rPr>
              <w:t>Project</w:t>
            </w:r>
            <w:r w:rsidRPr="006D5198">
              <w:rPr>
                <w:b/>
              </w:rPr>
              <w:t xml:space="preserve"> Status</w:t>
            </w:r>
          </w:p>
        </w:tc>
        <w:tc>
          <w:tcPr>
            <w:tcW w:w="9497"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vAlign w:val="center"/>
            <w:hideMark/>
          </w:tcPr>
          <w:tbl>
            <w:tblPr>
              <w:tblW w:w="92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14"/>
              <w:gridCol w:w="615"/>
              <w:gridCol w:w="615"/>
              <w:gridCol w:w="615"/>
              <w:gridCol w:w="615"/>
              <w:gridCol w:w="615"/>
              <w:gridCol w:w="616"/>
              <w:gridCol w:w="616"/>
              <w:gridCol w:w="616"/>
              <w:gridCol w:w="616"/>
              <w:gridCol w:w="615"/>
              <w:gridCol w:w="621"/>
              <w:gridCol w:w="616"/>
              <w:gridCol w:w="616"/>
              <w:gridCol w:w="616"/>
            </w:tblGrid>
            <w:tr w:rsidR="00FC0BCD" w14:paraId="267EC01F" w14:textId="77777777" w:rsidTr="00A11BFB">
              <w:tc>
                <w:tcPr>
                  <w:tcW w:w="6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C000"/>
                  <w:tcMar>
                    <w:top w:w="0" w:type="dxa"/>
                    <w:left w:w="108" w:type="dxa"/>
                    <w:bottom w:w="0" w:type="dxa"/>
                    <w:right w:w="108" w:type="dxa"/>
                  </w:tcMar>
                </w:tcPr>
                <w:p w14:paraId="5EA28CC5" w14:textId="77777777" w:rsidR="00FC0BCD" w:rsidRPr="00565FB8" w:rsidRDefault="00FC0BCD" w:rsidP="00904A03">
                  <w:pPr>
                    <w:ind w:left="-85"/>
                    <w:jc w:val="center"/>
                    <w:rPr>
                      <w:rFonts w:eastAsia="Calibri" w:cs="Calibri"/>
                      <w:b/>
                      <w:sz w:val="16"/>
                      <w:szCs w:val="16"/>
                    </w:rPr>
                  </w:pPr>
                </w:p>
              </w:tc>
              <w:tc>
                <w:tcPr>
                  <w:tcW w:w="6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Mar>
                    <w:top w:w="0" w:type="dxa"/>
                    <w:left w:w="108" w:type="dxa"/>
                    <w:bottom w:w="0" w:type="dxa"/>
                    <w:right w:w="108" w:type="dxa"/>
                  </w:tcMar>
                </w:tcPr>
                <w:p w14:paraId="1CFF4C31" w14:textId="77777777" w:rsidR="00FC0BCD" w:rsidRPr="00565FB8" w:rsidRDefault="00FC0BCD" w:rsidP="00904A03">
                  <w:pPr>
                    <w:ind w:left="-85"/>
                    <w:jc w:val="center"/>
                    <w:rPr>
                      <w:rFonts w:eastAsia="Calibri" w:cs="Calibri"/>
                      <w:b/>
                      <w:sz w:val="16"/>
                      <w:szCs w:val="16"/>
                    </w:rPr>
                  </w:pPr>
                </w:p>
              </w:tc>
              <w:tc>
                <w:tcPr>
                  <w:tcW w:w="6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C000"/>
                  <w:tcMar>
                    <w:top w:w="0" w:type="dxa"/>
                    <w:left w:w="108" w:type="dxa"/>
                    <w:bottom w:w="0" w:type="dxa"/>
                    <w:right w:w="108" w:type="dxa"/>
                  </w:tcMar>
                </w:tcPr>
                <w:p w14:paraId="091AB97D" w14:textId="77777777" w:rsidR="00FC0BCD" w:rsidRPr="00565FB8" w:rsidRDefault="00FC0BCD" w:rsidP="00904A03">
                  <w:pPr>
                    <w:ind w:left="-85"/>
                    <w:jc w:val="center"/>
                    <w:rPr>
                      <w:rFonts w:eastAsia="Calibri" w:cs="Calibri"/>
                      <w:b/>
                      <w:sz w:val="16"/>
                      <w:szCs w:val="16"/>
                    </w:rPr>
                  </w:pPr>
                </w:p>
              </w:tc>
              <w:tc>
                <w:tcPr>
                  <w:tcW w:w="6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614AA109" w14:textId="77777777" w:rsidR="00FC0BCD" w:rsidRPr="00565FB8" w:rsidRDefault="00FC0BCD" w:rsidP="00904A03">
                  <w:pPr>
                    <w:ind w:left="-85"/>
                    <w:jc w:val="center"/>
                    <w:rPr>
                      <w:rFonts w:eastAsia="Calibri" w:cs="Calibri"/>
                      <w:b/>
                      <w:sz w:val="16"/>
                      <w:szCs w:val="16"/>
                    </w:rPr>
                  </w:pPr>
                </w:p>
              </w:tc>
              <w:tc>
                <w:tcPr>
                  <w:tcW w:w="6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0710D20E" w14:textId="77777777" w:rsidR="00FC0BCD" w:rsidRPr="00565FB8" w:rsidRDefault="00FC0BCD" w:rsidP="00904A03">
                  <w:pPr>
                    <w:ind w:left="-85"/>
                    <w:jc w:val="center"/>
                    <w:rPr>
                      <w:rFonts w:eastAsia="Calibri" w:cs="Calibri"/>
                      <w:b/>
                      <w:sz w:val="16"/>
                      <w:szCs w:val="16"/>
                    </w:rPr>
                  </w:pPr>
                </w:p>
              </w:tc>
              <w:tc>
                <w:tcPr>
                  <w:tcW w:w="6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2B571943" w14:textId="77777777" w:rsidR="00FC0BCD" w:rsidRPr="00565FB8" w:rsidRDefault="00FC0BCD" w:rsidP="00904A03">
                  <w:pPr>
                    <w:ind w:left="-85"/>
                    <w:jc w:val="center"/>
                    <w:rPr>
                      <w:rFonts w:eastAsia="Calibri" w:cs="Calibri"/>
                      <w:b/>
                      <w:sz w:val="16"/>
                      <w:szCs w:val="16"/>
                    </w:rPr>
                  </w:pPr>
                </w:p>
              </w:tc>
              <w:tc>
                <w:tcPr>
                  <w:tcW w:w="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4770DF54" w14:textId="77777777" w:rsidR="00FC0BCD" w:rsidRPr="00565FB8" w:rsidRDefault="00FC0BCD" w:rsidP="00904A03">
                  <w:pPr>
                    <w:ind w:left="-85"/>
                    <w:jc w:val="center"/>
                    <w:rPr>
                      <w:rFonts w:eastAsia="Calibri" w:cs="Calibri"/>
                      <w:b/>
                      <w:sz w:val="16"/>
                      <w:szCs w:val="16"/>
                    </w:rPr>
                  </w:pPr>
                </w:p>
              </w:tc>
              <w:tc>
                <w:tcPr>
                  <w:tcW w:w="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50347800" w14:textId="77777777" w:rsidR="00FC0BCD" w:rsidRPr="00565FB8" w:rsidRDefault="00FC0BCD" w:rsidP="00904A03">
                  <w:pPr>
                    <w:ind w:left="-85"/>
                    <w:jc w:val="center"/>
                    <w:rPr>
                      <w:rFonts w:eastAsia="Calibri" w:cs="Calibri"/>
                      <w:b/>
                      <w:sz w:val="16"/>
                      <w:szCs w:val="16"/>
                    </w:rPr>
                  </w:pPr>
                </w:p>
              </w:tc>
              <w:tc>
                <w:tcPr>
                  <w:tcW w:w="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EC73B7" w14:textId="77777777" w:rsidR="00FC0BCD" w:rsidRPr="00565FB8" w:rsidRDefault="00FC0BCD" w:rsidP="00904A03">
                  <w:pPr>
                    <w:ind w:left="-85"/>
                    <w:jc w:val="center"/>
                    <w:rPr>
                      <w:rFonts w:eastAsia="Calibri" w:cs="Calibri"/>
                      <w:b/>
                      <w:sz w:val="16"/>
                      <w:szCs w:val="16"/>
                    </w:rPr>
                  </w:pPr>
                </w:p>
              </w:tc>
              <w:tc>
                <w:tcPr>
                  <w:tcW w:w="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151FF38C" w14:textId="77777777" w:rsidR="00FC0BCD" w:rsidRPr="00565FB8" w:rsidRDefault="00FC0BCD" w:rsidP="00904A03">
                  <w:pPr>
                    <w:ind w:left="-85"/>
                    <w:jc w:val="center"/>
                    <w:rPr>
                      <w:rFonts w:eastAsia="Calibri" w:cs="Calibri"/>
                      <w:b/>
                      <w:sz w:val="16"/>
                      <w:szCs w:val="16"/>
                    </w:rPr>
                  </w:pPr>
                </w:p>
              </w:tc>
              <w:tc>
                <w:tcPr>
                  <w:tcW w:w="6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05CF00F4" w14:textId="77777777" w:rsidR="00FC0BCD" w:rsidRPr="00565FB8" w:rsidRDefault="00FC0BCD" w:rsidP="00904A03">
                  <w:pPr>
                    <w:ind w:left="-85"/>
                    <w:jc w:val="center"/>
                    <w:rPr>
                      <w:rFonts w:eastAsia="Calibri" w:cs="Calibri"/>
                      <w:b/>
                      <w:sz w:val="16"/>
                      <w:szCs w:val="16"/>
                    </w:rPr>
                  </w:pPr>
                </w:p>
              </w:tc>
              <w:tc>
                <w:tcPr>
                  <w:tcW w:w="6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6441DE" w14:textId="77777777" w:rsidR="00FC0BCD" w:rsidRPr="00565FB8" w:rsidRDefault="00FC0BCD" w:rsidP="00904A03">
                  <w:pPr>
                    <w:ind w:left="-85"/>
                    <w:jc w:val="center"/>
                    <w:rPr>
                      <w:rFonts w:eastAsia="Calibri" w:cs="Calibri"/>
                      <w:b/>
                      <w:sz w:val="16"/>
                      <w:szCs w:val="16"/>
                    </w:rPr>
                  </w:pPr>
                </w:p>
              </w:tc>
              <w:tc>
                <w:tcPr>
                  <w:tcW w:w="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3FC874" w14:textId="77777777" w:rsidR="00FC0BCD" w:rsidRPr="00565FB8" w:rsidRDefault="00FC0BCD" w:rsidP="00904A03">
                  <w:pPr>
                    <w:ind w:left="-85"/>
                    <w:jc w:val="center"/>
                    <w:rPr>
                      <w:rFonts w:eastAsia="Calibri" w:cs="Calibri"/>
                      <w:b/>
                      <w:sz w:val="16"/>
                      <w:szCs w:val="16"/>
                    </w:rPr>
                  </w:pPr>
                </w:p>
              </w:tc>
              <w:tc>
                <w:tcPr>
                  <w:tcW w:w="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F9C5B5" w14:textId="77777777" w:rsidR="00FC0BCD" w:rsidRPr="00565FB8" w:rsidRDefault="00FC0BCD" w:rsidP="00904A03">
                  <w:pPr>
                    <w:ind w:left="-85"/>
                    <w:jc w:val="center"/>
                    <w:rPr>
                      <w:rFonts w:eastAsia="Calibri" w:cs="Calibri"/>
                      <w:b/>
                      <w:sz w:val="16"/>
                      <w:szCs w:val="16"/>
                    </w:rPr>
                  </w:pPr>
                </w:p>
              </w:tc>
              <w:tc>
                <w:tcPr>
                  <w:tcW w:w="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229A1B" w14:textId="77777777" w:rsidR="00FC0BCD" w:rsidRPr="00565FB8" w:rsidRDefault="00FC0BCD" w:rsidP="00904A03">
                  <w:pPr>
                    <w:ind w:left="-85"/>
                    <w:jc w:val="center"/>
                    <w:rPr>
                      <w:rFonts w:eastAsia="Calibri" w:cs="Calibri"/>
                      <w:b/>
                      <w:sz w:val="16"/>
                      <w:szCs w:val="16"/>
                    </w:rPr>
                  </w:pPr>
                </w:p>
              </w:tc>
            </w:tr>
            <w:tr w:rsidR="00FC0BCD" w14:paraId="1A53EAAF" w14:textId="77777777" w:rsidTr="00FC0BCD">
              <w:tc>
                <w:tcPr>
                  <w:tcW w:w="6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679D3595" w14:textId="220E5652" w:rsidR="00FC0BCD" w:rsidRPr="00E5749F" w:rsidRDefault="00F814F3" w:rsidP="00904A03">
                  <w:pPr>
                    <w:ind w:left="-85"/>
                    <w:jc w:val="center"/>
                    <w:rPr>
                      <w:rFonts w:eastAsia="Calibri" w:cs="Calibri"/>
                      <w:sz w:val="16"/>
                      <w:szCs w:val="16"/>
                    </w:rPr>
                  </w:pPr>
                  <w:r>
                    <w:rPr>
                      <w:rFonts w:eastAsia="Calibri" w:cs="Calibri"/>
                      <w:sz w:val="16"/>
                      <w:szCs w:val="16"/>
                    </w:rPr>
                    <w:t>J</w:t>
                  </w:r>
                </w:p>
              </w:tc>
              <w:tc>
                <w:tcPr>
                  <w:tcW w:w="6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151D8A8B" w14:textId="2AC25477" w:rsidR="00FC0BCD" w:rsidRPr="00E5749F" w:rsidRDefault="00F814F3" w:rsidP="00904A03">
                  <w:pPr>
                    <w:ind w:left="-85"/>
                    <w:jc w:val="center"/>
                    <w:rPr>
                      <w:rFonts w:eastAsia="Calibri" w:cs="Calibri"/>
                      <w:sz w:val="16"/>
                      <w:szCs w:val="16"/>
                    </w:rPr>
                  </w:pPr>
                  <w:r>
                    <w:rPr>
                      <w:rFonts w:eastAsia="Calibri" w:cs="Calibri"/>
                      <w:sz w:val="16"/>
                      <w:szCs w:val="16"/>
                    </w:rPr>
                    <w:t>F</w:t>
                  </w:r>
                </w:p>
              </w:tc>
              <w:tc>
                <w:tcPr>
                  <w:tcW w:w="6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2958C22D" w14:textId="3649136F" w:rsidR="00FC0BCD" w:rsidRPr="00E5749F" w:rsidRDefault="00F814F3" w:rsidP="00904A03">
                  <w:pPr>
                    <w:ind w:left="-85"/>
                    <w:jc w:val="center"/>
                    <w:rPr>
                      <w:rFonts w:eastAsia="Calibri" w:cs="Calibri"/>
                      <w:sz w:val="16"/>
                      <w:szCs w:val="16"/>
                    </w:rPr>
                  </w:pPr>
                  <w:r>
                    <w:rPr>
                      <w:rFonts w:eastAsia="Calibri" w:cs="Calibri"/>
                      <w:sz w:val="16"/>
                      <w:szCs w:val="16"/>
                    </w:rPr>
                    <w:t>M</w:t>
                  </w:r>
                </w:p>
              </w:tc>
              <w:tc>
                <w:tcPr>
                  <w:tcW w:w="6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4D1DFD5B" w14:textId="1122BBC4" w:rsidR="00FC0BCD" w:rsidRPr="00E5749F" w:rsidRDefault="00F814F3" w:rsidP="00904A03">
                  <w:pPr>
                    <w:ind w:left="-85"/>
                    <w:jc w:val="center"/>
                    <w:rPr>
                      <w:rFonts w:eastAsia="Calibri" w:cs="Calibri"/>
                      <w:sz w:val="16"/>
                      <w:szCs w:val="16"/>
                    </w:rPr>
                  </w:pPr>
                  <w:r>
                    <w:rPr>
                      <w:rFonts w:eastAsia="Calibri" w:cs="Calibri"/>
                      <w:sz w:val="16"/>
                      <w:szCs w:val="16"/>
                    </w:rPr>
                    <w:t>A</w:t>
                  </w:r>
                </w:p>
              </w:tc>
              <w:tc>
                <w:tcPr>
                  <w:tcW w:w="6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128D7111" w14:textId="55DC7CF8" w:rsidR="00FC0BCD" w:rsidRPr="00E5749F" w:rsidRDefault="00F814F3" w:rsidP="00904A03">
                  <w:pPr>
                    <w:ind w:left="-85"/>
                    <w:jc w:val="center"/>
                    <w:rPr>
                      <w:rFonts w:eastAsia="Calibri" w:cs="Calibri"/>
                      <w:sz w:val="16"/>
                      <w:szCs w:val="16"/>
                    </w:rPr>
                  </w:pPr>
                  <w:r>
                    <w:rPr>
                      <w:rFonts w:eastAsia="Calibri" w:cs="Calibri"/>
                      <w:sz w:val="16"/>
                      <w:szCs w:val="16"/>
                    </w:rPr>
                    <w:t>M</w:t>
                  </w:r>
                </w:p>
              </w:tc>
              <w:tc>
                <w:tcPr>
                  <w:tcW w:w="6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573746F5" w14:textId="1DED1BB5" w:rsidR="00FC0BCD" w:rsidRPr="00E5749F" w:rsidRDefault="00F814F3" w:rsidP="00904A03">
                  <w:pPr>
                    <w:ind w:left="-85"/>
                    <w:jc w:val="center"/>
                    <w:rPr>
                      <w:rFonts w:eastAsia="Calibri" w:cs="Calibri"/>
                      <w:sz w:val="16"/>
                      <w:szCs w:val="16"/>
                    </w:rPr>
                  </w:pPr>
                  <w:r>
                    <w:rPr>
                      <w:rFonts w:eastAsia="Calibri" w:cs="Calibri"/>
                      <w:sz w:val="16"/>
                      <w:szCs w:val="16"/>
                    </w:rPr>
                    <w:t>J</w:t>
                  </w:r>
                </w:p>
              </w:tc>
              <w:tc>
                <w:tcPr>
                  <w:tcW w:w="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7EA9FE2A" w14:textId="13CD398A" w:rsidR="00FC0BCD" w:rsidRPr="00E5749F" w:rsidRDefault="00F814F3" w:rsidP="00904A03">
                  <w:pPr>
                    <w:ind w:left="-85"/>
                    <w:jc w:val="center"/>
                    <w:rPr>
                      <w:rFonts w:eastAsia="Calibri" w:cs="Calibri"/>
                      <w:sz w:val="16"/>
                      <w:szCs w:val="16"/>
                    </w:rPr>
                  </w:pPr>
                  <w:r>
                    <w:rPr>
                      <w:rFonts w:eastAsia="Calibri" w:cs="Calibri"/>
                      <w:sz w:val="16"/>
                      <w:szCs w:val="16"/>
                    </w:rPr>
                    <w:t>J</w:t>
                  </w:r>
                </w:p>
              </w:tc>
              <w:tc>
                <w:tcPr>
                  <w:tcW w:w="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5A88974E" w14:textId="011AADC3" w:rsidR="00FC0BCD" w:rsidRPr="00E5749F" w:rsidRDefault="00F814F3" w:rsidP="00904A03">
                  <w:pPr>
                    <w:ind w:left="-85"/>
                    <w:jc w:val="center"/>
                    <w:rPr>
                      <w:rFonts w:eastAsia="Calibri" w:cs="Calibri"/>
                      <w:sz w:val="16"/>
                      <w:szCs w:val="16"/>
                    </w:rPr>
                  </w:pPr>
                  <w:r>
                    <w:rPr>
                      <w:rFonts w:eastAsia="Calibri" w:cs="Calibri"/>
                      <w:sz w:val="16"/>
                      <w:szCs w:val="16"/>
                    </w:rPr>
                    <w:t>A</w:t>
                  </w:r>
                </w:p>
              </w:tc>
              <w:tc>
                <w:tcPr>
                  <w:tcW w:w="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216387" w14:textId="541AD0B4" w:rsidR="00FC0BCD" w:rsidRPr="00E5749F" w:rsidRDefault="00F814F3" w:rsidP="00904A03">
                  <w:pPr>
                    <w:ind w:left="-85"/>
                    <w:jc w:val="center"/>
                    <w:rPr>
                      <w:rFonts w:eastAsia="Calibri" w:cs="Calibri"/>
                      <w:sz w:val="16"/>
                      <w:szCs w:val="16"/>
                    </w:rPr>
                  </w:pPr>
                  <w:r>
                    <w:rPr>
                      <w:rFonts w:eastAsia="Calibri" w:cs="Calibri"/>
                      <w:sz w:val="16"/>
                      <w:szCs w:val="16"/>
                    </w:rPr>
                    <w:t>S</w:t>
                  </w:r>
                </w:p>
              </w:tc>
              <w:tc>
                <w:tcPr>
                  <w:tcW w:w="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2CF403DE" w14:textId="670C59A3" w:rsidR="00FC0BCD" w:rsidRPr="00E5749F" w:rsidRDefault="00F814F3" w:rsidP="00904A03">
                  <w:pPr>
                    <w:ind w:left="-85"/>
                    <w:jc w:val="center"/>
                    <w:rPr>
                      <w:rFonts w:eastAsia="Calibri" w:cs="Calibri"/>
                      <w:sz w:val="16"/>
                      <w:szCs w:val="16"/>
                    </w:rPr>
                  </w:pPr>
                  <w:r>
                    <w:rPr>
                      <w:rFonts w:eastAsia="Calibri" w:cs="Calibri"/>
                      <w:sz w:val="16"/>
                      <w:szCs w:val="16"/>
                    </w:rPr>
                    <w:t>O</w:t>
                  </w:r>
                </w:p>
              </w:tc>
              <w:tc>
                <w:tcPr>
                  <w:tcW w:w="6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28451C9D" w14:textId="7116EDE3" w:rsidR="00FC0BCD" w:rsidRPr="00E5749F" w:rsidRDefault="00F814F3" w:rsidP="00904A03">
                  <w:pPr>
                    <w:ind w:left="-85"/>
                    <w:jc w:val="center"/>
                    <w:rPr>
                      <w:rFonts w:eastAsia="Calibri" w:cs="Calibri"/>
                      <w:sz w:val="16"/>
                      <w:szCs w:val="16"/>
                    </w:rPr>
                  </w:pPr>
                  <w:r>
                    <w:rPr>
                      <w:rFonts w:eastAsia="Calibri" w:cs="Calibri"/>
                      <w:sz w:val="16"/>
                      <w:szCs w:val="16"/>
                    </w:rPr>
                    <w:t>N</w:t>
                  </w:r>
                </w:p>
              </w:tc>
              <w:tc>
                <w:tcPr>
                  <w:tcW w:w="6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677904" w14:textId="010B3807" w:rsidR="00FC0BCD" w:rsidRPr="00E5749F" w:rsidRDefault="00F814F3" w:rsidP="00904A03">
                  <w:pPr>
                    <w:ind w:left="-85"/>
                    <w:jc w:val="center"/>
                    <w:rPr>
                      <w:rFonts w:eastAsia="Calibri" w:cs="Calibri"/>
                      <w:sz w:val="16"/>
                      <w:szCs w:val="16"/>
                    </w:rPr>
                  </w:pPr>
                  <w:r>
                    <w:rPr>
                      <w:rFonts w:eastAsia="Calibri" w:cs="Calibri"/>
                      <w:sz w:val="16"/>
                      <w:szCs w:val="16"/>
                    </w:rPr>
                    <w:t>D</w:t>
                  </w:r>
                </w:p>
              </w:tc>
              <w:tc>
                <w:tcPr>
                  <w:tcW w:w="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9A8151" w14:textId="5A96B64B" w:rsidR="00FC0BCD" w:rsidRPr="00E5749F" w:rsidRDefault="00F814F3" w:rsidP="00904A03">
                  <w:pPr>
                    <w:ind w:left="-85"/>
                    <w:jc w:val="center"/>
                    <w:rPr>
                      <w:rFonts w:eastAsia="Calibri" w:cs="Calibri"/>
                      <w:sz w:val="16"/>
                      <w:szCs w:val="16"/>
                    </w:rPr>
                  </w:pPr>
                  <w:r>
                    <w:rPr>
                      <w:rFonts w:eastAsia="Calibri" w:cs="Calibri"/>
                      <w:sz w:val="16"/>
                      <w:szCs w:val="16"/>
                    </w:rPr>
                    <w:t>J</w:t>
                  </w:r>
                </w:p>
              </w:tc>
              <w:tc>
                <w:tcPr>
                  <w:tcW w:w="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5FEBCC" w14:textId="347BD3BC" w:rsidR="00FC0BCD" w:rsidRPr="00E5749F" w:rsidRDefault="00F814F3" w:rsidP="00904A03">
                  <w:pPr>
                    <w:ind w:left="-85"/>
                    <w:jc w:val="center"/>
                    <w:rPr>
                      <w:rFonts w:eastAsia="Calibri" w:cs="Calibri"/>
                      <w:sz w:val="16"/>
                      <w:szCs w:val="16"/>
                    </w:rPr>
                  </w:pPr>
                  <w:r>
                    <w:rPr>
                      <w:rFonts w:eastAsia="Calibri" w:cs="Calibri"/>
                      <w:sz w:val="16"/>
                      <w:szCs w:val="16"/>
                    </w:rPr>
                    <w:t>F</w:t>
                  </w:r>
                </w:p>
              </w:tc>
              <w:tc>
                <w:tcPr>
                  <w:tcW w:w="6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E5D61C" w14:textId="1DABE014" w:rsidR="00FC0BCD" w:rsidRDefault="00F814F3" w:rsidP="00904A03">
                  <w:pPr>
                    <w:ind w:left="-85"/>
                    <w:jc w:val="center"/>
                    <w:rPr>
                      <w:rFonts w:eastAsia="Calibri" w:cs="Calibri"/>
                      <w:sz w:val="16"/>
                      <w:szCs w:val="16"/>
                    </w:rPr>
                  </w:pPr>
                  <w:r>
                    <w:rPr>
                      <w:rFonts w:eastAsia="Calibri" w:cs="Calibri"/>
                      <w:sz w:val="16"/>
                      <w:szCs w:val="16"/>
                    </w:rPr>
                    <w:t>M</w:t>
                  </w:r>
                </w:p>
              </w:tc>
            </w:tr>
            <w:tr w:rsidR="00FC0BCD" w14:paraId="12141E11" w14:textId="77777777" w:rsidTr="00FC0BCD">
              <w:tc>
                <w:tcPr>
                  <w:tcW w:w="738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205EEE61" w14:textId="769A6BAA" w:rsidR="00FC0BCD" w:rsidRPr="00350EAB" w:rsidRDefault="00FC0BCD" w:rsidP="00904A03">
                  <w:pPr>
                    <w:ind w:left="-85"/>
                    <w:jc w:val="center"/>
                    <w:rPr>
                      <w:rFonts w:eastAsia="Calibri" w:cs="Calibri"/>
                      <w:b/>
                      <w:sz w:val="16"/>
                      <w:szCs w:val="16"/>
                    </w:rPr>
                  </w:pPr>
                  <w:r w:rsidRPr="00350EAB">
                    <w:rPr>
                      <w:rFonts w:eastAsia="Calibri" w:cs="Calibri"/>
                      <w:b/>
                      <w:sz w:val="16"/>
                      <w:szCs w:val="16"/>
                    </w:rPr>
                    <w:t>20</w:t>
                  </w:r>
                  <w:r>
                    <w:rPr>
                      <w:rFonts w:eastAsia="Calibri" w:cs="Calibri"/>
                      <w:b/>
                      <w:sz w:val="16"/>
                      <w:szCs w:val="16"/>
                    </w:rPr>
                    <w:t>2</w:t>
                  </w:r>
                  <w:r w:rsidR="00F814F3">
                    <w:rPr>
                      <w:rFonts w:eastAsia="Calibri" w:cs="Calibri"/>
                      <w:b/>
                      <w:sz w:val="16"/>
                      <w:szCs w:val="16"/>
                    </w:rPr>
                    <w:t>5</w:t>
                  </w:r>
                  <w:r>
                    <w:rPr>
                      <w:rFonts w:eastAsia="Calibri" w:cs="Calibri"/>
                      <w:b/>
                      <w:sz w:val="16"/>
                      <w:szCs w:val="16"/>
                    </w:rPr>
                    <w:t>/</w:t>
                  </w:r>
                  <w:r w:rsidR="00E86497">
                    <w:rPr>
                      <w:rFonts w:eastAsia="Calibri" w:cs="Calibri"/>
                      <w:b/>
                      <w:sz w:val="16"/>
                      <w:szCs w:val="16"/>
                    </w:rPr>
                    <w:t>2</w:t>
                  </w:r>
                  <w:r w:rsidR="00F814F3">
                    <w:rPr>
                      <w:rFonts w:eastAsia="Calibri" w:cs="Calibri"/>
                      <w:b/>
                      <w:sz w:val="16"/>
                      <w:szCs w:val="16"/>
                    </w:rPr>
                    <w:t>6</w:t>
                  </w:r>
                </w:p>
              </w:tc>
              <w:tc>
                <w:tcPr>
                  <w:tcW w:w="18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EBB88E" w14:textId="68ECC3AB" w:rsidR="00FC0BCD" w:rsidRPr="00350EAB" w:rsidRDefault="00FC0BCD" w:rsidP="00904A03">
                  <w:pPr>
                    <w:ind w:left="-85"/>
                    <w:jc w:val="center"/>
                    <w:rPr>
                      <w:rFonts w:eastAsia="Calibri" w:cs="Calibri"/>
                      <w:b/>
                      <w:sz w:val="16"/>
                      <w:szCs w:val="16"/>
                    </w:rPr>
                  </w:pPr>
                  <w:r>
                    <w:rPr>
                      <w:rFonts w:eastAsia="Calibri" w:cs="Calibri"/>
                      <w:b/>
                      <w:sz w:val="16"/>
                      <w:szCs w:val="16"/>
                    </w:rPr>
                    <w:t>20</w:t>
                  </w:r>
                  <w:r w:rsidR="00E86497">
                    <w:rPr>
                      <w:rFonts w:eastAsia="Calibri" w:cs="Calibri"/>
                      <w:b/>
                      <w:sz w:val="16"/>
                      <w:szCs w:val="16"/>
                    </w:rPr>
                    <w:t>2</w:t>
                  </w:r>
                  <w:r w:rsidR="00F814F3">
                    <w:rPr>
                      <w:rFonts w:eastAsia="Calibri" w:cs="Calibri"/>
                      <w:b/>
                      <w:sz w:val="16"/>
                      <w:szCs w:val="16"/>
                    </w:rPr>
                    <w:t>6</w:t>
                  </w:r>
                  <w:r w:rsidR="00E86497">
                    <w:rPr>
                      <w:rFonts w:eastAsia="Calibri" w:cs="Calibri"/>
                      <w:b/>
                      <w:sz w:val="16"/>
                      <w:szCs w:val="16"/>
                    </w:rPr>
                    <w:t>/2</w:t>
                  </w:r>
                  <w:r w:rsidR="00F814F3">
                    <w:rPr>
                      <w:rFonts w:eastAsia="Calibri" w:cs="Calibri"/>
                      <w:b/>
                      <w:sz w:val="16"/>
                      <w:szCs w:val="16"/>
                    </w:rPr>
                    <w:t>7</w:t>
                  </w:r>
                </w:p>
              </w:tc>
            </w:tr>
          </w:tbl>
          <w:p w14:paraId="28D23D08" w14:textId="77777777" w:rsidR="00FC0BCD" w:rsidRPr="006D5198" w:rsidRDefault="00FC0BCD" w:rsidP="00904A03">
            <w:pPr>
              <w:rPr>
                <w:szCs w:val="18"/>
              </w:rPr>
            </w:pPr>
          </w:p>
        </w:tc>
      </w:tr>
      <w:tr w:rsidR="00FC0BCD" w:rsidRPr="00D04FE0" w14:paraId="67931C65" w14:textId="77777777" w:rsidTr="00E25DBB">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CC99FF" w:fill="99CCFF"/>
        </w:tblPrEx>
        <w:trPr>
          <w:trHeight w:val="58"/>
        </w:trPr>
        <w:tc>
          <w:tcPr>
            <w:tcW w:w="10490" w:type="dxa"/>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27D335C" w14:textId="59B4A811" w:rsidR="00FC0BCD" w:rsidRPr="00C0003D" w:rsidRDefault="00094636" w:rsidP="00904A03">
            <w:pPr>
              <w:rPr>
                <w:b/>
              </w:rPr>
            </w:pPr>
            <w:r>
              <w:rPr>
                <w:b/>
              </w:rPr>
              <w:t>This months p</w:t>
            </w:r>
            <w:r w:rsidR="00FC0BCD">
              <w:rPr>
                <w:b/>
              </w:rPr>
              <w:t xml:space="preserve">rogress Update </w:t>
            </w:r>
          </w:p>
          <w:p w14:paraId="675926C3" w14:textId="401D10FD" w:rsidR="00B2266A" w:rsidRDefault="00B2266A" w:rsidP="00B2266A">
            <w:pPr>
              <w:pStyle w:val="NormalWeb"/>
              <w:spacing w:line="300" w:lineRule="atLeast"/>
              <w:rPr>
                <w:rFonts w:ascii="Segoe UI" w:hAnsi="Segoe UI" w:cs="Segoe UI"/>
                <w:sz w:val="21"/>
                <w:szCs w:val="21"/>
              </w:rPr>
            </w:pPr>
            <w:r>
              <w:rPr>
                <w:rStyle w:val="Strong"/>
                <w:rFonts w:ascii="Segoe UI" w:hAnsi="Segoe UI" w:cs="Segoe UI"/>
                <w:sz w:val="21"/>
                <w:szCs w:val="21"/>
              </w:rPr>
              <w:t>Workstream 1</w:t>
            </w:r>
            <w:r w:rsidR="009B658B">
              <w:rPr>
                <w:rStyle w:val="Strong"/>
                <w:rFonts w:ascii="Segoe UI" w:hAnsi="Segoe UI" w:cs="Segoe UI"/>
                <w:sz w:val="21"/>
                <w:szCs w:val="21"/>
              </w:rPr>
              <w:t xml:space="preserve"> – Inclusive Charter</w:t>
            </w:r>
            <w:r>
              <w:rPr>
                <w:rFonts w:ascii="Segoe UI" w:hAnsi="Segoe UI" w:cs="Segoe UI"/>
                <w:sz w:val="21"/>
                <w:szCs w:val="21"/>
              </w:rPr>
              <w:t xml:space="preserve"> </w:t>
            </w:r>
            <w:r w:rsidR="00A53A4D" w:rsidRPr="00A53A4D">
              <w:rPr>
                <w:rFonts w:ascii="Segoe UI" w:hAnsi="Segoe UI" w:cs="Segoe UI"/>
                <w:sz w:val="21"/>
                <w:szCs w:val="21"/>
              </w:rPr>
              <w:t>The Inclusion Charter workstream has largely completed its core conceptual work and is transitioning into final product development. The Charter is clearly positioned as a system wide set of commitments and promises to children, young people and families, distinct from but complementary to Ordinarily Available Provision. Work is underway to align the Charter with a regional digital audit tool, enabling schools to evidence inclusive practice in a consistent and meaningful way. Despite recent inspection related capacity pressures, there is clear agreement on the role the Charter will play in strengthening accountability, assurance and shared understanding across the system.</w:t>
            </w:r>
            <w:r>
              <w:rPr>
                <w:rFonts w:ascii="Segoe UI" w:hAnsi="Segoe UI" w:cs="Segoe UI"/>
                <w:sz w:val="21"/>
                <w:szCs w:val="21"/>
              </w:rPr>
              <w:t xml:space="preserve"> </w:t>
            </w:r>
            <w:r w:rsidR="00FE4F51">
              <w:rPr>
                <w:rFonts w:ascii="Segoe UI" w:hAnsi="Segoe UI" w:cs="Segoe UI"/>
                <w:sz w:val="21"/>
                <w:szCs w:val="21"/>
              </w:rPr>
              <w:t>Leads:</w:t>
            </w:r>
            <w:r w:rsidR="00202964">
              <w:rPr>
                <w:rFonts w:ascii="Segoe UI" w:hAnsi="Segoe UI" w:cs="Segoe UI"/>
                <w:sz w:val="21"/>
                <w:szCs w:val="21"/>
              </w:rPr>
              <w:t xml:space="preserve"> Rachel Delourme </w:t>
            </w:r>
            <w:r w:rsidR="00FE4F51">
              <w:rPr>
                <w:rFonts w:ascii="Segoe UI" w:hAnsi="Segoe UI" w:cs="Segoe UI"/>
                <w:sz w:val="21"/>
                <w:szCs w:val="21"/>
              </w:rPr>
              <w:t>&amp; Amy Daniels</w:t>
            </w:r>
            <w:r w:rsidR="009776AD">
              <w:rPr>
                <w:rFonts w:ascii="Segoe UI" w:hAnsi="Segoe UI" w:cs="Segoe UI"/>
                <w:sz w:val="21"/>
                <w:szCs w:val="21"/>
              </w:rPr>
              <w:t xml:space="preserve"> (</w:t>
            </w:r>
            <w:hyperlink r:id="rId10" w:history="1">
              <w:r w:rsidR="009776AD" w:rsidRPr="001506BB">
                <w:rPr>
                  <w:rStyle w:val="Hyperlink"/>
                  <w:rFonts w:ascii="Segoe UI" w:hAnsi="Segoe UI" w:cs="Segoe UI"/>
                  <w:sz w:val="21"/>
                  <w:szCs w:val="21"/>
                </w:rPr>
                <w:t>rachel.delourme@cornwall.gov.uk</w:t>
              </w:r>
            </w:hyperlink>
            <w:r w:rsidR="009776AD">
              <w:rPr>
                <w:rFonts w:ascii="Segoe UI" w:hAnsi="Segoe UI" w:cs="Segoe UI"/>
                <w:sz w:val="21"/>
                <w:szCs w:val="21"/>
              </w:rPr>
              <w:t xml:space="preserve"> &amp; </w:t>
            </w:r>
            <w:hyperlink r:id="rId11" w:history="1">
              <w:r w:rsidR="00A15CD6" w:rsidRPr="001506BB">
                <w:rPr>
                  <w:rStyle w:val="Hyperlink"/>
                  <w:rFonts w:ascii="Segoe UI" w:hAnsi="Segoe UI" w:cs="Segoe UI"/>
                  <w:sz w:val="21"/>
                  <w:szCs w:val="21"/>
                </w:rPr>
                <w:t>adaniels@celtrust.org</w:t>
              </w:r>
            </w:hyperlink>
            <w:r w:rsidR="00A15CD6">
              <w:rPr>
                <w:rFonts w:ascii="Segoe UI" w:hAnsi="Segoe UI" w:cs="Segoe UI"/>
                <w:sz w:val="21"/>
                <w:szCs w:val="21"/>
              </w:rPr>
              <w:t>)</w:t>
            </w:r>
          </w:p>
          <w:p w14:paraId="2B01360D" w14:textId="5E5ABCAD" w:rsidR="00B2266A" w:rsidRPr="00FE4F51" w:rsidRDefault="00B2266A" w:rsidP="00644CEE">
            <w:pPr>
              <w:pStyle w:val="NormalWeb"/>
              <w:rPr>
                <w:rFonts w:ascii="Segoe UI" w:hAnsi="Segoe UI" w:cs="Segoe UI"/>
                <w:sz w:val="21"/>
                <w:szCs w:val="21"/>
              </w:rPr>
            </w:pPr>
            <w:r>
              <w:rPr>
                <w:rStyle w:val="Strong"/>
                <w:rFonts w:ascii="Segoe UI" w:hAnsi="Segoe UI" w:cs="Segoe UI"/>
                <w:sz w:val="21"/>
                <w:szCs w:val="21"/>
              </w:rPr>
              <w:t>Workstream 3</w:t>
            </w:r>
            <w:r w:rsidR="00644CEE">
              <w:rPr>
                <w:rStyle w:val="Strong"/>
                <w:rFonts w:ascii="Segoe UI" w:hAnsi="Segoe UI" w:cs="Segoe UI"/>
                <w:sz w:val="21"/>
                <w:szCs w:val="21"/>
              </w:rPr>
              <w:t xml:space="preserve"> - </w:t>
            </w:r>
            <w:r w:rsidR="00644CEE" w:rsidRPr="00644CEE">
              <w:rPr>
                <w:rFonts w:ascii="Segoe UI" w:hAnsi="Segoe UI" w:cs="Segoe UI"/>
                <w:b/>
                <w:bCs/>
                <w:sz w:val="21"/>
                <w:szCs w:val="21"/>
              </w:rPr>
              <w:t>Ordinarily Available Provision</w:t>
            </w:r>
            <w:r>
              <w:rPr>
                <w:rFonts w:ascii="Segoe UI" w:hAnsi="Segoe UI" w:cs="Segoe UI"/>
                <w:sz w:val="21"/>
                <w:szCs w:val="21"/>
              </w:rPr>
              <w:t xml:space="preserve"> </w:t>
            </w:r>
            <w:r w:rsidR="00234347" w:rsidRPr="00234347">
              <w:rPr>
                <w:rFonts w:ascii="Segoe UI" w:hAnsi="Segoe UI" w:cs="Segoe UI"/>
                <w:sz w:val="21"/>
                <w:szCs w:val="21"/>
              </w:rPr>
              <w:t>The OAP workstream has made strong and tangible progress, moving from concept into active co production. Planning is complete for a large, multi agency conference on 30 April, with a clear methodology agreed to capture system wide input across early years, primary, secondary and post 16 phases. The workstream has purposefully shifted away from needs based models towards a universal offer for all children, aligning with the direction of SEND reform. Clear links have been established with Experts at Hand, pupil voice has been embedded into the process, and there is a shared commitment to stress testing outputs against recognised evidence bases to ensure the final OAP model is robust, credible and implementable.</w:t>
            </w:r>
            <w:r w:rsidR="00FE4F51">
              <w:rPr>
                <w:rFonts w:ascii="Segoe UI" w:hAnsi="Segoe UI" w:cs="Segoe UI"/>
                <w:sz w:val="21"/>
                <w:szCs w:val="21"/>
              </w:rPr>
              <w:t xml:space="preserve"> Leads:</w:t>
            </w:r>
            <w:r w:rsidR="00FE4F51" w:rsidRPr="00FE4F51">
              <w:rPr>
                <w:rFonts w:ascii="Segoe UI" w:hAnsi="Segoe UI" w:cs="Segoe UI"/>
                <w:sz w:val="21"/>
                <w:szCs w:val="21"/>
              </w:rPr>
              <w:t xml:space="preserve"> </w:t>
            </w:r>
            <w:r w:rsidR="009439C1">
              <w:rPr>
                <w:rFonts w:ascii="Segoe UI" w:hAnsi="Segoe UI" w:cs="Segoe UI"/>
                <w:sz w:val="21"/>
                <w:szCs w:val="21"/>
              </w:rPr>
              <w:t xml:space="preserve">Tanya </w:t>
            </w:r>
            <w:r w:rsidR="00FE4F51" w:rsidRPr="00FE4F51">
              <w:rPr>
                <w:rFonts w:ascii="Segoe UI" w:hAnsi="Segoe UI" w:cs="Segoe UI"/>
                <w:sz w:val="21"/>
                <w:szCs w:val="21"/>
              </w:rPr>
              <w:t xml:space="preserve">Banks </w:t>
            </w:r>
            <w:r w:rsidR="009439C1">
              <w:rPr>
                <w:rFonts w:ascii="Segoe UI" w:hAnsi="Segoe UI" w:cs="Segoe UI"/>
                <w:sz w:val="21"/>
                <w:szCs w:val="21"/>
              </w:rPr>
              <w:t>&amp;</w:t>
            </w:r>
            <w:r w:rsidR="00FE4F51" w:rsidRPr="00FE4F51">
              <w:rPr>
                <w:rFonts w:ascii="Segoe UI" w:hAnsi="Segoe UI" w:cs="Segoe UI"/>
                <w:sz w:val="21"/>
                <w:szCs w:val="21"/>
              </w:rPr>
              <w:t xml:space="preserve"> Amy Daniels</w:t>
            </w:r>
            <w:r w:rsidR="00E34C88">
              <w:rPr>
                <w:rFonts w:ascii="Segoe UI" w:hAnsi="Segoe UI" w:cs="Segoe UI"/>
                <w:sz w:val="21"/>
                <w:szCs w:val="21"/>
              </w:rPr>
              <w:t xml:space="preserve"> (</w:t>
            </w:r>
            <w:hyperlink r:id="rId12" w:history="1">
              <w:r w:rsidR="00E34C88" w:rsidRPr="001506BB">
                <w:rPr>
                  <w:rStyle w:val="Hyperlink"/>
                  <w:rFonts w:ascii="Segoe UI" w:hAnsi="Segoe UI" w:cs="Segoe UI"/>
                  <w:sz w:val="21"/>
                  <w:szCs w:val="21"/>
                </w:rPr>
                <w:t>tbanks@kernowlearning.co.uk</w:t>
              </w:r>
            </w:hyperlink>
            <w:r w:rsidR="00E34C88">
              <w:rPr>
                <w:rFonts w:ascii="Segoe UI" w:hAnsi="Segoe UI" w:cs="Segoe UI"/>
                <w:sz w:val="21"/>
                <w:szCs w:val="21"/>
              </w:rPr>
              <w:t xml:space="preserve"> &amp; </w:t>
            </w:r>
            <w:hyperlink r:id="rId13" w:history="1">
              <w:r w:rsidR="00E34C88" w:rsidRPr="001506BB">
                <w:rPr>
                  <w:rStyle w:val="Hyperlink"/>
                  <w:rFonts w:ascii="Segoe UI" w:hAnsi="Segoe UI" w:cs="Segoe UI"/>
                  <w:sz w:val="21"/>
                  <w:szCs w:val="21"/>
                </w:rPr>
                <w:t>adaniels@celtrust.org</w:t>
              </w:r>
            </w:hyperlink>
            <w:r w:rsidR="00E34C88">
              <w:rPr>
                <w:rFonts w:ascii="Segoe UI" w:hAnsi="Segoe UI" w:cs="Segoe UI"/>
                <w:sz w:val="21"/>
                <w:szCs w:val="21"/>
              </w:rPr>
              <w:t>)</w:t>
            </w:r>
          </w:p>
          <w:p w14:paraId="1FE6329F" w14:textId="39193BC6" w:rsidR="00657A22" w:rsidRPr="00644CEE" w:rsidRDefault="00657A22" w:rsidP="00644CEE">
            <w:pPr>
              <w:pStyle w:val="NormalWeb"/>
              <w:rPr>
                <w:rFonts w:ascii="Segoe UI" w:hAnsi="Segoe UI" w:cs="Segoe UI"/>
                <w:b/>
                <w:bCs/>
                <w:sz w:val="21"/>
                <w:szCs w:val="21"/>
              </w:rPr>
            </w:pPr>
            <w:r>
              <w:rPr>
                <w:rStyle w:val="Strong"/>
                <w:rFonts w:ascii="Segoe UI" w:hAnsi="Segoe UI" w:cs="Segoe UI"/>
                <w:sz w:val="21"/>
                <w:szCs w:val="21"/>
              </w:rPr>
              <w:t>Workstream 7</w:t>
            </w:r>
            <w:r w:rsidR="00644CEE">
              <w:rPr>
                <w:rStyle w:val="Strong"/>
                <w:rFonts w:ascii="Segoe UI" w:hAnsi="Segoe UI" w:cs="Segoe UI"/>
                <w:sz w:val="21"/>
                <w:szCs w:val="21"/>
              </w:rPr>
              <w:t xml:space="preserve"> - </w:t>
            </w:r>
            <w:r w:rsidR="00644CEE" w:rsidRPr="19960335">
              <w:rPr>
                <w:rFonts w:ascii="Segoe UI" w:hAnsi="Segoe UI" w:cs="Segoe UI"/>
                <w:b/>
                <w:bCs/>
                <w:sz w:val="21"/>
                <w:szCs w:val="21"/>
              </w:rPr>
              <w:t>P</w:t>
            </w:r>
            <w:r w:rsidR="212A1AFA" w:rsidRPr="19960335">
              <w:rPr>
                <w:rFonts w:ascii="Segoe UI" w:hAnsi="Segoe UI" w:cs="Segoe UI"/>
                <w:b/>
                <w:bCs/>
                <w:sz w:val="21"/>
                <w:szCs w:val="21"/>
              </w:rPr>
              <w:t xml:space="preserve">eer Panels / </w:t>
            </w:r>
            <w:r w:rsidR="00F52771">
              <w:rPr>
                <w:rFonts w:ascii="Segoe UI" w:hAnsi="Segoe UI" w:cs="Segoe UI"/>
                <w:b/>
                <w:bCs/>
                <w:sz w:val="21"/>
                <w:szCs w:val="21"/>
              </w:rPr>
              <w:t xml:space="preserve">Experts </w:t>
            </w:r>
            <w:r w:rsidR="00516453">
              <w:rPr>
                <w:rFonts w:ascii="Segoe UI" w:hAnsi="Segoe UI" w:cs="Segoe UI"/>
                <w:b/>
                <w:bCs/>
                <w:sz w:val="21"/>
                <w:szCs w:val="21"/>
              </w:rPr>
              <w:t>at Hand</w:t>
            </w:r>
            <w:r>
              <w:rPr>
                <w:rFonts w:ascii="Segoe UI" w:hAnsi="Segoe UI" w:cs="Segoe UI"/>
                <w:sz w:val="21"/>
                <w:szCs w:val="21"/>
              </w:rPr>
              <w:t xml:space="preserve"> </w:t>
            </w:r>
            <w:r w:rsidR="00221730" w:rsidRPr="00221730">
              <w:rPr>
                <w:rFonts w:ascii="Segoe UI" w:hAnsi="Segoe UI" w:cs="Segoe UI"/>
                <w:sz w:val="21"/>
                <w:szCs w:val="21"/>
              </w:rPr>
              <w:t>The Peer Partnerships / Experts at Hand workstream has achieved greater clarity and coherence since its previous session, particularly in its purpose and delivery model. Progress has been made in agreeing an architecture based on clusters of schools aligned to Family Hub areas, with a strong emphasis on locality, professional proximity and system support. The group has been explicit in reframing Experts at Hand away from individual casework towards workforce development, CPD and support for universal and targeted provision. Early learning from other local authority models has been shared, and the workstream is now well positioned to align its next phase to national SEND reform funding and guidance as this becomes clearer.</w:t>
            </w:r>
            <w:r w:rsidR="0065343D">
              <w:rPr>
                <w:rFonts w:ascii="Segoe UI" w:hAnsi="Segoe UI" w:cs="Segoe UI"/>
                <w:sz w:val="21"/>
                <w:szCs w:val="21"/>
              </w:rPr>
              <w:t xml:space="preserve"> Lead: </w:t>
            </w:r>
            <w:r w:rsidR="000A0908">
              <w:rPr>
                <w:rFonts w:ascii="Segoe UI" w:hAnsi="Segoe UI" w:cs="Segoe UI"/>
                <w:sz w:val="21"/>
                <w:szCs w:val="21"/>
              </w:rPr>
              <w:t>(</w:t>
            </w:r>
            <w:hyperlink r:id="rId14" w:history="1">
              <w:r w:rsidR="000A0908" w:rsidRPr="001506BB">
                <w:rPr>
                  <w:rStyle w:val="Hyperlink"/>
                  <w:rFonts w:ascii="Segoe UI" w:hAnsi="Segoe UI" w:cs="Segoe UI"/>
                  <w:sz w:val="21"/>
                  <w:szCs w:val="21"/>
                </w:rPr>
                <w:t>rachel.delourme@cornwall.gov.uk</w:t>
              </w:r>
            </w:hyperlink>
            <w:r w:rsidR="000A0908">
              <w:rPr>
                <w:rFonts w:ascii="Segoe UI" w:hAnsi="Segoe UI" w:cs="Segoe UI"/>
                <w:sz w:val="21"/>
                <w:szCs w:val="21"/>
              </w:rPr>
              <w:t>)</w:t>
            </w:r>
          </w:p>
          <w:p w14:paraId="14A7A38E" w14:textId="1A0B8377" w:rsidR="000A0F7F" w:rsidRPr="000A0F7F" w:rsidRDefault="000A0F7F" w:rsidP="000A0F7F">
            <w:pPr>
              <w:pStyle w:val="NormalWeb"/>
              <w:rPr>
                <w:rFonts w:ascii="Segoe UI" w:hAnsi="Segoe UI" w:cs="Segoe UI"/>
                <w:sz w:val="21"/>
                <w:szCs w:val="21"/>
              </w:rPr>
            </w:pPr>
            <w:r w:rsidRPr="000A0F7F">
              <w:rPr>
                <w:rFonts w:ascii="Segoe UI" w:hAnsi="Segoe UI" w:cs="Segoe UI"/>
                <w:b/>
                <w:bCs/>
                <w:sz w:val="21"/>
                <w:szCs w:val="21"/>
              </w:rPr>
              <w:t>WS12 – Strategic Locality Future Planning Partnership</w:t>
            </w:r>
            <w:r>
              <w:rPr>
                <w:rFonts w:ascii="Segoe UI" w:hAnsi="Segoe UI" w:cs="Segoe UI"/>
                <w:sz w:val="21"/>
                <w:szCs w:val="21"/>
              </w:rPr>
              <w:t xml:space="preserve"> </w:t>
            </w:r>
            <w:r w:rsidR="00A11BFB" w:rsidRPr="00A11BFB">
              <w:rPr>
                <w:rFonts w:ascii="Segoe UI" w:hAnsi="Segoe UI" w:cs="Segoe UI"/>
                <w:sz w:val="21"/>
                <w:szCs w:val="21"/>
              </w:rPr>
              <w:t xml:space="preserve">The Mid Cornwall Sufficiency workstream is progressing, though at a different pace and with a more operational focus than the other strands. Activity to date has concentrated on place based sufficiency, with discussion around specialist provision, outreach and in reach. Through this meeting, there was growing recognition of the need </w:t>
            </w:r>
            <w:r w:rsidR="0002621D">
              <w:rPr>
                <w:rFonts w:ascii="Segoe UI" w:hAnsi="Segoe UI" w:cs="Segoe UI"/>
                <w:sz w:val="21"/>
                <w:szCs w:val="21"/>
              </w:rPr>
              <w:t>for</w:t>
            </w:r>
            <w:r w:rsidR="00A11BFB" w:rsidRPr="00A11BFB">
              <w:rPr>
                <w:rFonts w:ascii="Segoe UI" w:hAnsi="Segoe UI" w:cs="Segoe UI"/>
                <w:sz w:val="21"/>
                <w:szCs w:val="21"/>
              </w:rPr>
              <w:t xml:space="preserve"> the workstream </w:t>
            </w:r>
            <w:r w:rsidR="0047077E">
              <w:rPr>
                <w:rFonts w:ascii="Segoe UI" w:hAnsi="Segoe UI" w:cs="Segoe UI"/>
                <w:sz w:val="21"/>
                <w:szCs w:val="21"/>
              </w:rPr>
              <w:t>to be</w:t>
            </w:r>
            <w:r w:rsidR="00A11BFB" w:rsidRPr="00A11BFB">
              <w:rPr>
                <w:rFonts w:ascii="Segoe UI" w:hAnsi="Segoe UI" w:cs="Segoe UI"/>
                <w:sz w:val="21"/>
                <w:szCs w:val="21"/>
              </w:rPr>
              <w:t xml:space="preserve"> more </w:t>
            </w:r>
            <w:r w:rsidR="0002621D">
              <w:rPr>
                <w:rFonts w:ascii="Segoe UI" w:hAnsi="Segoe UI" w:cs="Segoe UI"/>
                <w:sz w:val="21"/>
                <w:szCs w:val="21"/>
              </w:rPr>
              <w:t xml:space="preserve">explicitly understood as a </w:t>
            </w:r>
            <w:r w:rsidR="00E25DBB">
              <w:rPr>
                <w:rFonts w:ascii="Segoe UI" w:hAnsi="Segoe UI" w:cs="Segoe UI"/>
                <w:sz w:val="21"/>
                <w:szCs w:val="21"/>
              </w:rPr>
              <w:t xml:space="preserve">mid-Cornwall </w:t>
            </w:r>
            <w:r w:rsidR="0002621D">
              <w:rPr>
                <w:rFonts w:ascii="Segoe UI" w:hAnsi="Segoe UI" w:cs="Segoe UI"/>
                <w:sz w:val="21"/>
                <w:szCs w:val="21"/>
              </w:rPr>
              <w:t>pilot for</w:t>
            </w:r>
            <w:r w:rsidR="00A11BFB" w:rsidRPr="00A11BFB">
              <w:rPr>
                <w:rFonts w:ascii="Segoe UI" w:hAnsi="Segoe UI" w:cs="Segoe UI"/>
                <w:sz w:val="21"/>
                <w:szCs w:val="21"/>
              </w:rPr>
              <w:t xml:space="preserve"> SEND reform </w:t>
            </w:r>
            <w:r w:rsidR="0047077E">
              <w:rPr>
                <w:rFonts w:ascii="Segoe UI" w:hAnsi="Segoe UI" w:cs="Segoe UI"/>
                <w:sz w:val="21"/>
                <w:szCs w:val="21"/>
              </w:rPr>
              <w:t>that</w:t>
            </w:r>
            <w:r w:rsidR="00A11BFB" w:rsidRPr="00A11BFB">
              <w:rPr>
                <w:rFonts w:ascii="Segoe UI" w:hAnsi="Segoe UI" w:cs="Segoe UI"/>
                <w:sz w:val="21"/>
                <w:szCs w:val="21"/>
              </w:rPr>
              <w:t xml:space="preserve"> connects to wider system developments, including OAP and Peer Partnerships. </w:t>
            </w:r>
            <w:r w:rsidR="0065343D">
              <w:rPr>
                <w:rFonts w:ascii="Segoe UI" w:hAnsi="Segoe UI" w:cs="Segoe UI"/>
                <w:sz w:val="21"/>
                <w:szCs w:val="21"/>
              </w:rPr>
              <w:t>Lead: Guy Chappel</w:t>
            </w:r>
            <w:r w:rsidR="000A0908">
              <w:rPr>
                <w:rFonts w:ascii="Segoe UI" w:hAnsi="Segoe UI" w:cs="Segoe UI"/>
                <w:sz w:val="21"/>
                <w:szCs w:val="21"/>
              </w:rPr>
              <w:t xml:space="preserve"> (</w:t>
            </w:r>
            <w:hyperlink r:id="rId15" w:history="1">
              <w:r w:rsidR="00860435" w:rsidRPr="001506BB">
                <w:rPr>
                  <w:rStyle w:val="Hyperlink"/>
                  <w:rFonts w:ascii="Segoe UI" w:hAnsi="Segoe UI" w:cs="Segoe UI"/>
                  <w:sz w:val="21"/>
                  <w:szCs w:val="21"/>
                </w:rPr>
                <w:t>gchappell@specialpartnership.org</w:t>
              </w:r>
            </w:hyperlink>
            <w:r w:rsidR="00860435">
              <w:rPr>
                <w:rFonts w:ascii="Segoe UI" w:hAnsi="Segoe UI" w:cs="Segoe UI"/>
                <w:sz w:val="21"/>
                <w:szCs w:val="21"/>
              </w:rPr>
              <w:t xml:space="preserve">) </w:t>
            </w:r>
          </w:p>
          <w:p w14:paraId="0C598841" w14:textId="77777777" w:rsidR="00E25DBB" w:rsidRDefault="00E25DBB" w:rsidP="00B2266A">
            <w:pPr>
              <w:pStyle w:val="NormalWeb"/>
              <w:spacing w:line="300" w:lineRule="atLeast"/>
            </w:pPr>
          </w:p>
          <w:p w14:paraId="08AA7550" w14:textId="77777777" w:rsidR="00E25DBB" w:rsidRDefault="00E25DBB" w:rsidP="00B2266A">
            <w:pPr>
              <w:pStyle w:val="NormalWeb"/>
              <w:spacing w:line="300" w:lineRule="atLeast"/>
            </w:pPr>
          </w:p>
          <w:p w14:paraId="26B0CC1C" w14:textId="31656735" w:rsidR="00D07122" w:rsidRPr="005D7C06" w:rsidRDefault="00D07122" w:rsidP="00B2266A">
            <w:pPr>
              <w:pStyle w:val="NormalWeb"/>
              <w:spacing w:line="300" w:lineRule="atLeast"/>
            </w:pPr>
          </w:p>
        </w:tc>
      </w:tr>
    </w:tbl>
    <w:p w14:paraId="5550B6E9" w14:textId="77777777" w:rsidR="00FC0BCD" w:rsidRPr="00A521EC" w:rsidRDefault="00FC0BCD">
      <w:pPr>
        <w:rPr>
          <w:sz w:val="6"/>
          <w:szCs w:val="8"/>
        </w:rPr>
      </w:pPr>
    </w:p>
    <w:tbl>
      <w:tblPr>
        <w:tblW w:w="104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425"/>
        <w:gridCol w:w="8065"/>
      </w:tblGrid>
      <w:tr w:rsidR="0065695C" w:rsidRPr="00A6607B" w14:paraId="6910E6F4" w14:textId="77777777" w:rsidTr="00904A03">
        <w:tc>
          <w:tcPr>
            <w:tcW w:w="10490" w:type="dxa"/>
            <w:gridSpan w:val="2"/>
            <w:tcBorders>
              <w:top w:val="single" w:sz="4" w:space="0" w:color="808080"/>
              <w:left w:val="single" w:sz="4" w:space="0" w:color="808080"/>
              <w:bottom w:val="single" w:sz="4" w:space="0" w:color="808080"/>
              <w:right w:val="single" w:sz="4" w:space="0" w:color="808080"/>
            </w:tcBorders>
            <w:shd w:val="clear" w:color="auto" w:fill="95B3D7" w:themeFill="accent1" w:themeFillTint="99"/>
            <w:hideMark/>
          </w:tcPr>
          <w:p w14:paraId="52FA580E" w14:textId="746E8C08" w:rsidR="0065695C" w:rsidRPr="00A6607B" w:rsidRDefault="0065695C" w:rsidP="00D07122">
            <w:pPr>
              <w:pStyle w:val="04TCCCTableCentresubhead"/>
            </w:pPr>
            <w:r w:rsidRPr="00A6607B">
              <w:t>Progress Since Last Report</w:t>
            </w:r>
            <w:r w:rsidR="00964E83">
              <w:t xml:space="preserve"> (summary – see w/s HL for detailed)</w:t>
            </w:r>
            <w:r w:rsidRPr="00A6607B">
              <w:t xml:space="preserve"> </w:t>
            </w:r>
          </w:p>
        </w:tc>
      </w:tr>
      <w:tr w:rsidR="0065695C" w14:paraId="5B18CDA7" w14:textId="77777777" w:rsidTr="00904A03">
        <w:tc>
          <w:tcPr>
            <w:tcW w:w="2425" w:type="dxa"/>
            <w:tcBorders>
              <w:top w:val="single" w:sz="4" w:space="0" w:color="808080"/>
              <w:left w:val="single" w:sz="4" w:space="0" w:color="808080"/>
              <w:bottom w:val="single" w:sz="4" w:space="0" w:color="808080"/>
              <w:right w:val="single" w:sz="4" w:space="0" w:color="808080"/>
            </w:tcBorders>
            <w:hideMark/>
          </w:tcPr>
          <w:p w14:paraId="48790A16" w14:textId="77777777" w:rsidR="0065695C" w:rsidRPr="00D71E78" w:rsidRDefault="0065695C" w:rsidP="00904A03">
            <w:pPr>
              <w:rPr>
                <w:b/>
                <w:szCs w:val="18"/>
              </w:rPr>
            </w:pPr>
            <w:r w:rsidRPr="00D71E78">
              <w:rPr>
                <w:b/>
                <w:szCs w:val="18"/>
              </w:rPr>
              <w:t xml:space="preserve">Accomplished against Plan since the last Highlight Report: </w:t>
            </w:r>
          </w:p>
        </w:tc>
        <w:tc>
          <w:tcPr>
            <w:tcW w:w="8065" w:type="dxa"/>
            <w:tcBorders>
              <w:top w:val="single" w:sz="4" w:space="0" w:color="808080"/>
              <w:left w:val="single" w:sz="4" w:space="0" w:color="808080"/>
              <w:bottom w:val="single" w:sz="4" w:space="0" w:color="808080"/>
              <w:right w:val="single" w:sz="4" w:space="0" w:color="808080"/>
            </w:tcBorders>
          </w:tcPr>
          <w:p w14:paraId="71946B82" w14:textId="396CABAF" w:rsidR="0065695C" w:rsidRDefault="00F558A8" w:rsidP="00A11BFB">
            <w:pPr>
              <w:pStyle w:val="Header"/>
              <w:rPr>
                <w:szCs w:val="18"/>
              </w:rPr>
            </w:pPr>
            <w:r w:rsidRPr="00F558A8">
              <w:rPr>
                <w:szCs w:val="18"/>
              </w:rPr>
              <w:t>Workstream 1 – Inclusive Charter</w:t>
            </w:r>
          </w:p>
          <w:p w14:paraId="7D020A01" w14:textId="77777777" w:rsidR="00F91FFF" w:rsidRPr="000B669E" w:rsidRDefault="00F91FFF" w:rsidP="00F91FFF">
            <w:pPr>
              <w:numPr>
                <w:ilvl w:val="0"/>
                <w:numId w:val="6"/>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t>Inclusion Charter principles largely drafted prior to inspection.</w:t>
            </w:r>
          </w:p>
          <w:p w14:paraId="5246B875" w14:textId="340B2BEC" w:rsidR="00F91FFF" w:rsidRPr="000B669E" w:rsidRDefault="00F91FFF" w:rsidP="00F91FFF">
            <w:pPr>
              <w:numPr>
                <w:ilvl w:val="0"/>
                <w:numId w:val="6"/>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t xml:space="preserve">Digital audit tool </w:t>
            </w:r>
            <w:r w:rsidR="002D5680">
              <w:rPr>
                <w:rFonts w:ascii="Segoe UI" w:hAnsi="Segoe UI" w:cs="Segoe UI"/>
                <w:sz w:val="21"/>
                <w:szCs w:val="21"/>
                <w:lang w:eastAsia="en-GB"/>
              </w:rPr>
              <w:t xml:space="preserve">(COMPASS) </w:t>
            </w:r>
            <w:r w:rsidRPr="000B669E">
              <w:rPr>
                <w:rFonts w:ascii="Segoe UI" w:hAnsi="Segoe UI" w:cs="Segoe UI"/>
                <w:sz w:val="21"/>
                <w:szCs w:val="21"/>
                <w:lang w:eastAsia="en-GB"/>
              </w:rPr>
              <w:t>under development, funded regionally, to allow schools to evidence inclusive practice.</w:t>
            </w:r>
          </w:p>
          <w:p w14:paraId="21A97534" w14:textId="4B48BD7F" w:rsidR="00F91FFF" w:rsidRPr="00F91FFF" w:rsidRDefault="00F91FFF" w:rsidP="00A11BFB">
            <w:pPr>
              <w:numPr>
                <w:ilvl w:val="0"/>
                <w:numId w:val="6"/>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t xml:space="preserve">Agreement that the Charter will function as a visible commitment, distinct from </w:t>
            </w:r>
            <w:r w:rsidR="00AE4CEC">
              <w:rPr>
                <w:rFonts w:ascii="Segoe UI" w:hAnsi="Segoe UI" w:cs="Segoe UI"/>
                <w:sz w:val="21"/>
                <w:szCs w:val="21"/>
                <w:lang w:eastAsia="en-GB"/>
              </w:rPr>
              <w:t xml:space="preserve">but related to </w:t>
            </w:r>
            <w:r w:rsidRPr="000B669E">
              <w:rPr>
                <w:rFonts w:ascii="Segoe UI" w:hAnsi="Segoe UI" w:cs="Segoe UI"/>
                <w:sz w:val="21"/>
                <w:szCs w:val="21"/>
                <w:lang w:eastAsia="en-GB"/>
              </w:rPr>
              <w:t xml:space="preserve">the </w:t>
            </w:r>
            <w:r w:rsidR="00AE4CEC">
              <w:rPr>
                <w:rFonts w:ascii="Segoe UI" w:hAnsi="Segoe UI" w:cs="Segoe UI"/>
                <w:sz w:val="21"/>
                <w:szCs w:val="21"/>
                <w:lang w:eastAsia="en-GB"/>
              </w:rPr>
              <w:t>OAP map and</w:t>
            </w:r>
            <w:r w:rsidRPr="000B669E">
              <w:rPr>
                <w:rFonts w:ascii="Segoe UI" w:hAnsi="Segoe UI" w:cs="Segoe UI"/>
                <w:sz w:val="21"/>
                <w:szCs w:val="21"/>
                <w:lang w:eastAsia="en-GB"/>
              </w:rPr>
              <w:t xml:space="preserve"> technical </w:t>
            </w:r>
            <w:r w:rsidR="00AE4CEC">
              <w:rPr>
                <w:rFonts w:ascii="Segoe UI" w:hAnsi="Segoe UI" w:cs="Segoe UI"/>
                <w:sz w:val="21"/>
                <w:szCs w:val="21"/>
                <w:lang w:eastAsia="en-GB"/>
              </w:rPr>
              <w:t xml:space="preserve">audit </w:t>
            </w:r>
            <w:r w:rsidRPr="000B669E">
              <w:rPr>
                <w:rFonts w:ascii="Segoe UI" w:hAnsi="Segoe UI" w:cs="Segoe UI"/>
                <w:sz w:val="21"/>
                <w:szCs w:val="21"/>
                <w:lang w:eastAsia="en-GB"/>
              </w:rPr>
              <w:t xml:space="preserve">offer. </w:t>
            </w:r>
          </w:p>
          <w:p w14:paraId="4440293A" w14:textId="5C413ADB" w:rsidR="00A11BFB" w:rsidRDefault="00F558A8" w:rsidP="00A11BFB">
            <w:pPr>
              <w:pStyle w:val="Header"/>
              <w:rPr>
                <w:szCs w:val="18"/>
              </w:rPr>
            </w:pPr>
            <w:r w:rsidRPr="00F558A8">
              <w:rPr>
                <w:szCs w:val="18"/>
              </w:rPr>
              <w:t xml:space="preserve">Workstream 3 - Ordinarily Available Provision </w:t>
            </w:r>
          </w:p>
          <w:p w14:paraId="50B6DB41" w14:textId="77777777" w:rsidR="005D6DB4" w:rsidRPr="000B669E" w:rsidRDefault="005D6DB4" w:rsidP="005D6DB4">
            <w:pPr>
              <w:numPr>
                <w:ilvl w:val="0"/>
                <w:numId w:val="3"/>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t xml:space="preserve">Conference planned for </w:t>
            </w:r>
            <w:r w:rsidRPr="000B669E">
              <w:rPr>
                <w:rFonts w:ascii="Segoe UI" w:hAnsi="Segoe UI" w:cs="Segoe UI"/>
                <w:b/>
                <w:bCs/>
                <w:sz w:val="21"/>
                <w:szCs w:val="21"/>
                <w:lang w:eastAsia="en-GB"/>
              </w:rPr>
              <w:t>30 April</w:t>
            </w:r>
            <w:r w:rsidRPr="000B669E">
              <w:rPr>
                <w:rFonts w:ascii="Segoe UI" w:hAnsi="Segoe UI" w:cs="Segoe UI"/>
                <w:sz w:val="21"/>
                <w:szCs w:val="21"/>
                <w:lang w:eastAsia="en-GB"/>
              </w:rPr>
              <w:t>, including agenda, facilitation model, and structured pro formas for capturing system-wide input across education phases.</w:t>
            </w:r>
          </w:p>
          <w:p w14:paraId="1206367D" w14:textId="77777777" w:rsidR="005D6DB4" w:rsidRPr="000B669E" w:rsidRDefault="005D6DB4" w:rsidP="005D6DB4">
            <w:pPr>
              <w:numPr>
                <w:ilvl w:val="0"/>
                <w:numId w:val="3"/>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t>Shift agreed away from “areas of need” to developmental and phase-based framing, aligning with SEND reform direction.</w:t>
            </w:r>
          </w:p>
          <w:p w14:paraId="13652624" w14:textId="77777777" w:rsidR="005D6DB4" w:rsidRPr="000B669E" w:rsidRDefault="005D6DB4" w:rsidP="005D6DB4">
            <w:pPr>
              <w:numPr>
                <w:ilvl w:val="0"/>
                <w:numId w:val="3"/>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t xml:space="preserve">Agreement to integrate </w:t>
            </w:r>
            <w:r w:rsidRPr="000B669E">
              <w:rPr>
                <w:rFonts w:ascii="Segoe UI" w:hAnsi="Segoe UI" w:cs="Segoe UI"/>
                <w:b/>
                <w:bCs/>
                <w:sz w:val="21"/>
                <w:szCs w:val="21"/>
                <w:lang w:eastAsia="en-GB"/>
              </w:rPr>
              <w:t>Experts at Hand (EAH)</w:t>
            </w:r>
            <w:r w:rsidRPr="000B669E">
              <w:rPr>
                <w:rFonts w:ascii="Segoe UI" w:hAnsi="Segoe UI" w:cs="Segoe UI"/>
                <w:sz w:val="21"/>
                <w:szCs w:val="21"/>
                <w:lang w:eastAsia="en-GB"/>
              </w:rPr>
              <w:t xml:space="preserve"> prompts into the OAP workshop resources.</w:t>
            </w:r>
          </w:p>
          <w:p w14:paraId="75D6E908" w14:textId="5442F5C7" w:rsidR="005D6DB4" w:rsidRPr="005D6DB4" w:rsidRDefault="005D6DB4" w:rsidP="00A11BFB">
            <w:pPr>
              <w:numPr>
                <w:ilvl w:val="0"/>
                <w:numId w:val="3"/>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t>Decision to capture pupil voice alongside professional contributions</w:t>
            </w:r>
          </w:p>
          <w:p w14:paraId="443A13A1" w14:textId="49E67131" w:rsidR="00A11BFB" w:rsidRDefault="00516453" w:rsidP="00A11BFB">
            <w:pPr>
              <w:pStyle w:val="Header"/>
              <w:rPr>
                <w:szCs w:val="18"/>
              </w:rPr>
            </w:pPr>
            <w:r w:rsidRPr="00516453">
              <w:rPr>
                <w:szCs w:val="18"/>
              </w:rPr>
              <w:t xml:space="preserve">Workstream 7 - Peer Panels / Experts at Hand </w:t>
            </w:r>
          </w:p>
          <w:p w14:paraId="473766FE" w14:textId="4AA02F66" w:rsidR="00A51B03" w:rsidRPr="000B669E" w:rsidRDefault="00A51B03" w:rsidP="00A51B03">
            <w:pPr>
              <w:numPr>
                <w:ilvl w:val="0"/>
                <w:numId w:val="9"/>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t xml:space="preserve">Agreement on architecture based on </w:t>
            </w:r>
            <w:r w:rsidRPr="000B669E">
              <w:rPr>
                <w:rFonts w:ascii="Segoe UI" w:hAnsi="Segoe UI" w:cs="Segoe UI"/>
                <w:b/>
                <w:bCs/>
                <w:sz w:val="21"/>
                <w:szCs w:val="21"/>
                <w:lang w:eastAsia="en-GB"/>
              </w:rPr>
              <w:t>school clusters aligned to Family Hub areas</w:t>
            </w:r>
            <w:r w:rsidRPr="000B669E">
              <w:rPr>
                <w:rFonts w:ascii="Segoe UI" w:hAnsi="Segoe UI" w:cs="Segoe UI"/>
                <w:sz w:val="21"/>
                <w:szCs w:val="21"/>
                <w:lang w:eastAsia="en-GB"/>
              </w:rPr>
              <w:t>.</w:t>
            </w:r>
          </w:p>
          <w:p w14:paraId="3376FC3C" w14:textId="77777777" w:rsidR="00A51B03" w:rsidRPr="000B669E" w:rsidRDefault="00A51B03" w:rsidP="00A51B03">
            <w:pPr>
              <w:numPr>
                <w:ilvl w:val="0"/>
                <w:numId w:val="9"/>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t>Initial learning from other local authority funding approaches shared.</w:t>
            </w:r>
          </w:p>
          <w:p w14:paraId="192B5729" w14:textId="5562CE7A" w:rsidR="00A11BFB" w:rsidRPr="00F558A8" w:rsidRDefault="00A51B03" w:rsidP="00A11BFB">
            <w:pPr>
              <w:numPr>
                <w:ilvl w:val="0"/>
                <w:numId w:val="9"/>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t xml:space="preserve">Clear narrative established that Experts at Hand is about CPD, workforce development and system capability, not individual consultations. </w:t>
            </w:r>
          </w:p>
          <w:p w14:paraId="752BCF3D" w14:textId="2C00560B" w:rsidR="00A11BFB" w:rsidRDefault="00F558A8" w:rsidP="00A11BFB">
            <w:pPr>
              <w:pStyle w:val="Header"/>
              <w:rPr>
                <w:szCs w:val="18"/>
              </w:rPr>
            </w:pPr>
            <w:r w:rsidRPr="00F558A8">
              <w:rPr>
                <w:szCs w:val="18"/>
              </w:rPr>
              <w:t xml:space="preserve">WS12 – Strategic Future Planning Partnership </w:t>
            </w:r>
            <w:r w:rsidR="00D73362">
              <w:rPr>
                <w:szCs w:val="18"/>
              </w:rPr>
              <w:t>– Mid-Cornwall Pilot</w:t>
            </w:r>
            <w:r w:rsidRPr="00F558A8">
              <w:rPr>
                <w:szCs w:val="18"/>
              </w:rPr>
              <w:t xml:space="preserve"> </w:t>
            </w:r>
          </w:p>
          <w:p w14:paraId="40C33A33" w14:textId="77777777" w:rsidR="00100E90" w:rsidRPr="000B669E" w:rsidRDefault="00100E90" w:rsidP="00100E90">
            <w:pPr>
              <w:numPr>
                <w:ilvl w:val="0"/>
                <w:numId w:val="12"/>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t>Ongoing meetings focused on sufficiency and specialist provision across Mid</w:t>
            </w:r>
            <w:r w:rsidRPr="000B669E">
              <w:rPr>
                <w:rFonts w:ascii="Segoe UI" w:hAnsi="Segoe UI" w:cs="Segoe UI"/>
                <w:sz w:val="21"/>
                <w:szCs w:val="21"/>
                <w:lang w:eastAsia="en-GB"/>
              </w:rPr>
              <w:noBreakHyphen/>
              <w:t>Cornwall.</w:t>
            </w:r>
          </w:p>
          <w:p w14:paraId="11AAA8C2" w14:textId="1209B3E4" w:rsidR="00A11BFB" w:rsidRPr="006C7862" w:rsidRDefault="00100E90" w:rsidP="00F558A8">
            <w:pPr>
              <w:numPr>
                <w:ilvl w:val="0"/>
                <w:numId w:val="12"/>
              </w:numPr>
              <w:spacing w:before="100" w:beforeAutospacing="1" w:after="100" w:afterAutospacing="1" w:line="300" w:lineRule="atLeast"/>
              <w:rPr>
                <w:szCs w:val="18"/>
              </w:rPr>
            </w:pPr>
            <w:r w:rsidRPr="000B669E">
              <w:rPr>
                <w:rFonts w:ascii="Segoe UI" w:hAnsi="Segoe UI" w:cs="Segoe UI"/>
                <w:sz w:val="21"/>
                <w:szCs w:val="21"/>
                <w:lang w:eastAsia="en-GB"/>
              </w:rPr>
              <w:t xml:space="preserve">Identification of links to outreach and </w:t>
            </w:r>
            <w:r w:rsidR="00D73362" w:rsidRPr="000B669E">
              <w:rPr>
                <w:rFonts w:ascii="Segoe UI" w:hAnsi="Segoe UI" w:cs="Segoe UI"/>
                <w:sz w:val="21"/>
                <w:szCs w:val="21"/>
                <w:lang w:eastAsia="en-GB"/>
              </w:rPr>
              <w:t>in reach</w:t>
            </w:r>
            <w:r w:rsidRPr="000B669E">
              <w:rPr>
                <w:rFonts w:ascii="Segoe UI" w:hAnsi="Segoe UI" w:cs="Segoe UI"/>
                <w:sz w:val="21"/>
                <w:szCs w:val="21"/>
                <w:lang w:eastAsia="en-GB"/>
              </w:rPr>
              <w:t xml:space="preserve"> expectations within SEND reforms. </w:t>
            </w:r>
          </w:p>
        </w:tc>
      </w:tr>
      <w:tr w:rsidR="00A11BFB" w14:paraId="786E416C" w14:textId="77777777" w:rsidTr="00904A03">
        <w:tc>
          <w:tcPr>
            <w:tcW w:w="2425" w:type="dxa"/>
            <w:tcBorders>
              <w:top w:val="single" w:sz="4" w:space="0" w:color="808080"/>
              <w:left w:val="single" w:sz="4" w:space="0" w:color="808080"/>
              <w:bottom w:val="single" w:sz="4" w:space="0" w:color="808080"/>
              <w:right w:val="single" w:sz="4" w:space="0" w:color="808080"/>
            </w:tcBorders>
            <w:hideMark/>
          </w:tcPr>
          <w:p w14:paraId="61965BD4" w14:textId="77777777" w:rsidR="00A11BFB" w:rsidRDefault="00A11BFB" w:rsidP="00A11BFB">
            <w:pPr>
              <w:pStyle w:val="Header"/>
              <w:rPr>
                <w:b/>
                <w:szCs w:val="18"/>
              </w:rPr>
            </w:pPr>
            <w:r>
              <w:rPr>
                <w:b/>
                <w:szCs w:val="18"/>
              </w:rPr>
              <w:t>Not accomplished against the Plan since the last Highlight Report and why:</w:t>
            </w:r>
          </w:p>
        </w:tc>
        <w:tc>
          <w:tcPr>
            <w:tcW w:w="8065" w:type="dxa"/>
            <w:tcBorders>
              <w:top w:val="single" w:sz="4" w:space="0" w:color="808080"/>
              <w:left w:val="single" w:sz="4" w:space="0" w:color="808080"/>
              <w:bottom w:val="single" w:sz="4" w:space="0" w:color="808080"/>
              <w:right w:val="single" w:sz="4" w:space="0" w:color="808080"/>
            </w:tcBorders>
          </w:tcPr>
          <w:p w14:paraId="6DD2AA8A" w14:textId="5DCC43C0" w:rsidR="00A11BFB" w:rsidRDefault="00F558A8" w:rsidP="00A11BFB">
            <w:pPr>
              <w:pStyle w:val="Header"/>
              <w:rPr>
                <w:szCs w:val="18"/>
              </w:rPr>
            </w:pPr>
            <w:r w:rsidRPr="00F558A8">
              <w:rPr>
                <w:szCs w:val="18"/>
              </w:rPr>
              <w:t>Workstream 1 – Inclusive Charter</w:t>
            </w:r>
          </w:p>
          <w:p w14:paraId="4CC6B37D" w14:textId="77777777" w:rsidR="00F91FFF" w:rsidRPr="000B669E" w:rsidRDefault="00F91FFF" w:rsidP="00F91FFF">
            <w:pPr>
              <w:numPr>
                <w:ilvl w:val="0"/>
                <w:numId w:val="7"/>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t>Short-term capacity pressure due to inspection and leadership availability.</w:t>
            </w:r>
          </w:p>
          <w:p w14:paraId="0E3023B3" w14:textId="2214D561" w:rsidR="00A11BFB" w:rsidRPr="00F558A8" w:rsidRDefault="00F91FFF" w:rsidP="00A11BFB">
            <w:pPr>
              <w:numPr>
                <w:ilvl w:val="0"/>
                <w:numId w:val="7"/>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t>Further alignment work needed to ensure clear read</w:t>
            </w:r>
            <w:r w:rsidRPr="000B669E">
              <w:rPr>
                <w:rFonts w:ascii="Segoe UI" w:hAnsi="Segoe UI" w:cs="Segoe UI"/>
                <w:sz w:val="21"/>
                <w:szCs w:val="21"/>
                <w:lang w:eastAsia="en-GB"/>
              </w:rPr>
              <w:noBreakHyphen/>
              <w:t xml:space="preserve">across with OAP and SEND reform action planning. </w:t>
            </w:r>
          </w:p>
          <w:p w14:paraId="67D6412C" w14:textId="0FBCC90D" w:rsidR="00A11BFB" w:rsidRDefault="00F558A8" w:rsidP="00A11BFB">
            <w:pPr>
              <w:pStyle w:val="Header"/>
              <w:rPr>
                <w:szCs w:val="18"/>
              </w:rPr>
            </w:pPr>
            <w:r w:rsidRPr="00F558A8">
              <w:rPr>
                <w:szCs w:val="18"/>
              </w:rPr>
              <w:t xml:space="preserve">Workstream 3 - Ordinarily Available Provision </w:t>
            </w:r>
          </w:p>
          <w:p w14:paraId="4A054D62" w14:textId="77777777" w:rsidR="00182A8B" w:rsidRPr="000B669E" w:rsidRDefault="00182A8B" w:rsidP="00182A8B">
            <w:pPr>
              <w:numPr>
                <w:ilvl w:val="0"/>
                <w:numId w:val="4"/>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t xml:space="preserve">No formal </w:t>
            </w:r>
            <w:r w:rsidRPr="000B669E">
              <w:rPr>
                <w:rFonts w:ascii="Segoe UI" w:hAnsi="Segoe UI" w:cs="Segoe UI"/>
                <w:b/>
                <w:bCs/>
                <w:sz w:val="21"/>
                <w:szCs w:val="21"/>
                <w:lang w:eastAsia="en-GB"/>
              </w:rPr>
              <w:t>communications plan</w:t>
            </w:r>
            <w:r w:rsidRPr="000B669E">
              <w:rPr>
                <w:rFonts w:ascii="Segoe UI" w:hAnsi="Segoe UI" w:cs="Segoe UI"/>
                <w:sz w:val="21"/>
                <w:szCs w:val="21"/>
                <w:lang w:eastAsia="en-GB"/>
              </w:rPr>
              <w:t xml:space="preserve"> yet developed to support OAP rollout and usage beyond early adopters.</w:t>
            </w:r>
          </w:p>
          <w:p w14:paraId="0C2C58CE" w14:textId="26A45537" w:rsidR="00A11BFB" w:rsidRPr="0052765F" w:rsidRDefault="00182A8B" w:rsidP="00A11BFB">
            <w:pPr>
              <w:numPr>
                <w:ilvl w:val="0"/>
                <w:numId w:val="4"/>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lastRenderedPageBreak/>
              <w:t>Capacity risk around facilitation, note</w:t>
            </w:r>
            <w:r w:rsidRPr="000B669E">
              <w:rPr>
                <w:rFonts w:ascii="Segoe UI" w:hAnsi="Segoe UI" w:cs="Segoe UI"/>
                <w:sz w:val="21"/>
                <w:szCs w:val="21"/>
                <w:lang w:eastAsia="en-GB"/>
              </w:rPr>
              <w:noBreakHyphen/>
              <w:t xml:space="preserve">taking and synthesis given scale of attendance and tight timelines. </w:t>
            </w:r>
          </w:p>
          <w:p w14:paraId="1C57910F" w14:textId="778D7999" w:rsidR="00A11BFB" w:rsidRDefault="00516453" w:rsidP="00A11BFB">
            <w:pPr>
              <w:pStyle w:val="Header"/>
              <w:rPr>
                <w:szCs w:val="18"/>
              </w:rPr>
            </w:pPr>
            <w:r w:rsidRPr="00516453">
              <w:rPr>
                <w:szCs w:val="18"/>
              </w:rPr>
              <w:t xml:space="preserve">Workstream 7 - Peer Panels / Experts at Hand </w:t>
            </w:r>
            <w:r w:rsidR="00F558A8" w:rsidRPr="00F558A8">
              <w:rPr>
                <w:szCs w:val="18"/>
              </w:rPr>
              <w:t xml:space="preserve"> </w:t>
            </w:r>
          </w:p>
          <w:p w14:paraId="39D7009E" w14:textId="77777777" w:rsidR="00D22A72" w:rsidRPr="000B669E" w:rsidRDefault="00D22A72" w:rsidP="00D22A72">
            <w:pPr>
              <w:numPr>
                <w:ilvl w:val="0"/>
                <w:numId w:val="10"/>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t>Funding model dependent on further national SEND reform clarification.</w:t>
            </w:r>
          </w:p>
          <w:p w14:paraId="3E1E6FD9" w14:textId="71F4569C" w:rsidR="00A11BFB" w:rsidRPr="0052765F" w:rsidRDefault="00D22A72" w:rsidP="00A11BFB">
            <w:pPr>
              <w:numPr>
                <w:ilvl w:val="0"/>
                <w:numId w:val="10"/>
              </w:numPr>
              <w:spacing w:before="100" w:beforeAutospacing="1" w:after="100" w:afterAutospacing="1" w:line="300" w:lineRule="atLeast"/>
              <w:rPr>
                <w:szCs w:val="18"/>
              </w:rPr>
            </w:pPr>
            <w:r w:rsidRPr="000B669E">
              <w:rPr>
                <w:rFonts w:ascii="Segoe UI" w:hAnsi="Segoe UI" w:cs="Segoe UI"/>
                <w:sz w:val="21"/>
                <w:szCs w:val="21"/>
                <w:lang w:eastAsia="en-GB"/>
              </w:rPr>
              <w:t xml:space="preserve">External communications risk due to misconceptions around individual entitlement and funding narratives. </w:t>
            </w:r>
          </w:p>
          <w:p w14:paraId="30B5A16A" w14:textId="52410316" w:rsidR="00A11BFB" w:rsidRDefault="00F558A8" w:rsidP="00A11BFB">
            <w:pPr>
              <w:pStyle w:val="Header"/>
              <w:rPr>
                <w:szCs w:val="18"/>
              </w:rPr>
            </w:pPr>
            <w:r w:rsidRPr="00F558A8">
              <w:rPr>
                <w:szCs w:val="18"/>
              </w:rPr>
              <w:t>WS12 – Strategic Locality Future Planning Partnership</w:t>
            </w:r>
          </w:p>
          <w:p w14:paraId="233E9505" w14:textId="1B2038C7" w:rsidR="0052765F" w:rsidRPr="000B669E" w:rsidRDefault="00716B23" w:rsidP="0052765F">
            <w:pPr>
              <w:numPr>
                <w:ilvl w:val="0"/>
                <w:numId w:val="13"/>
              </w:numPr>
              <w:spacing w:before="100" w:beforeAutospacing="1" w:after="100" w:afterAutospacing="1" w:line="300" w:lineRule="atLeast"/>
              <w:rPr>
                <w:rFonts w:ascii="Segoe UI" w:hAnsi="Segoe UI" w:cs="Segoe UI"/>
                <w:sz w:val="21"/>
                <w:szCs w:val="21"/>
                <w:lang w:eastAsia="en-GB"/>
              </w:rPr>
            </w:pPr>
            <w:r>
              <w:rPr>
                <w:rFonts w:ascii="Segoe UI" w:hAnsi="Segoe UI" w:cs="Segoe UI"/>
                <w:sz w:val="21"/>
                <w:szCs w:val="21"/>
                <w:lang w:eastAsia="en-GB"/>
              </w:rPr>
              <w:t>C</w:t>
            </w:r>
            <w:r w:rsidR="0052765F" w:rsidRPr="000B669E">
              <w:rPr>
                <w:rFonts w:ascii="Segoe UI" w:hAnsi="Segoe UI" w:cs="Segoe UI"/>
                <w:sz w:val="21"/>
                <w:szCs w:val="21"/>
                <w:lang w:eastAsia="en-GB"/>
              </w:rPr>
              <w:t>o</w:t>
            </w:r>
            <w:r w:rsidR="0052765F" w:rsidRPr="000B669E">
              <w:rPr>
                <w:rFonts w:ascii="Segoe UI" w:hAnsi="Segoe UI" w:cs="Segoe UI"/>
                <w:sz w:val="21"/>
                <w:szCs w:val="21"/>
                <w:lang w:eastAsia="en-GB"/>
              </w:rPr>
              <w:noBreakHyphen/>
              <w:t xml:space="preserve">chair </w:t>
            </w:r>
            <w:r>
              <w:rPr>
                <w:rFonts w:ascii="Segoe UI" w:hAnsi="Segoe UI" w:cs="Segoe UI"/>
                <w:sz w:val="21"/>
                <w:szCs w:val="21"/>
                <w:lang w:eastAsia="en-GB"/>
              </w:rPr>
              <w:t>required</w:t>
            </w:r>
            <w:r w:rsidR="0052765F" w:rsidRPr="000B669E">
              <w:rPr>
                <w:rFonts w:ascii="Segoe UI" w:hAnsi="Segoe UI" w:cs="Segoe UI"/>
                <w:sz w:val="21"/>
                <w:szCs w:val="21"/>
                <w:lang w:eastAsia="en-GB"/>
              </w:rPr>
              <w:t>.</w:t>
            </w:r>
          </w:p>
          <w:p w14:paraId="32E7B15E" w14:textId="77777777" w:rsidR="0052765F" w:rsidRPr="000B669E" w:rsidRDefault="0052765F" w:rsidP="0052765F">
            <w:pPr>
              <w:numPr>
                <w:ilvl w:val="0"/>
                <w:numId w:val="13"/>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t>Limited Alternative Provision (AP) involvement following leadership changes.</w:t>
            </w:r>
          </w:p>
          <w:p w14:paraId="217AA08F" w14:textId="11A6DD30" w:rsidR="00A11BFB" w:rsidRPr="0052765F" w:rsidRDefault="001D46D9" w:rsidP="0052765F">
            <w:pPr>
              <w:numPr>
                <w:ilvl w:val="0"/>
                <w:numId w:val="13"/>
              </w:numPr>
              <w:spacing w:before="100" w:beforeAutospacing="1" w:after="100" w:afterAutospacing="1" w:line="300" w:lineRule="atLeast"/>
              <w:rPr>
                <w:rFonts w:ascii="Segoe UI" w:hAnsi="Segoe UI" w:cs="Segoe UI"/>
                <w:sz w:val="21"/>
                <w:szCs w:val="21"/>
                <w:lang w:eastAsia="en-GB"/>
              </w:rPr>
            </w:pPr>
            <w:r>
              <w:rPr>
                <w:rFonts w:ascii="Segoe UI" w:hAnsi="Segoe UI" w:cs="Segoe UI"/>
                <w:sz w:val="21"/>
                <w:szCs w:val="21"/>
                <w:lang w:eastAsia="en-GB"/>
              </w:rPr>
              <w:t>O</w:t>
            </w:r>
            <w:r w:rsidR="0052765F" w:rsidRPr="000B669E">
              <w:rPr>
                <w:rFonts w:ascii="Segoe UI" w:hAnsi="Segoe UI" w:cs="Segoe UI"/>
                <w:sz w:val="21"/>
                <w:szCs w:val="21"/>
                <w:lang w:eastAsia="en-GB"/>
              </w:rPr>
              <w:t xml:space="preserve">utputs </w:t>
            </w:r>
            <w:r>
              <w:rPr>
                <w:rFonts w:ascii="Segoe UI" w:hAnsi="Segoe UI" w:cs="Segoe UI"/>
                <w:sz w:val="21"/>
                <w:szCs w:val="21"/>
                <w:lang w:eastAsia="en-GB"/>
              </w:rPr>
              <w:t>less visible</w:t>
            </w:r>
            <w:r w:rsidR="0052765F" w:rsidRPr="000B669E">
              <w:rPr>
                <w:rFonts w:ascii="Segoe UI" w:hAnsi="Segoe UI" w:cs="Segoe UI"/>
                <w:sz w:val="21"/>
                <w:szCs w:val="21"/>
                <w:lang w:eastAsia="en-GB"/>
              </w:rPr>
              <w:t xml:space="preserve"> compared to other workstreams</w:t>
            </w:r>
          </w:p>
        </w:tc>
      </w:tr>
      <w:tr w:rsidR="00A11BFB" w14:paraId="47576778" w14:textId="77777777" w:rsidTr="00904A03">
        <w:tc>
          <w:tcPr>
            <w:tcW w:w="2425" w:type="dxa"/>
            <w:tcBorders>
              <w:top w:val="single" w:sz="4" w:space="0" w:color="808080"/>
              <w:left w:val="single" w:sz="4" w:space="0" w:color="808080"/>
              <w:bottom w:val="single" w:sz="4" w:space="0" w:color="808080"/>
              <w:right w:val="single" w:sz="4" w:space="0" w:color="808080"/>
            </w:tcBorders>
            <w:hideMark/>
          </w:tcPr>
          <w:p w14:paraId="38D0C445" w14:textId="77777777" w:rsidR="00A11BFB" w:rsidRDefault="00A11BFB" w:rsidP="00A11BFB">
            <w:pPr>
              <w:rPr>
                <w:b/>
                <w:szCs w:val="18"/>
              </w:rPr>
            </w:pPr>
            <w:r>
              <w:rPr>
                <w:b/>
                <w:szCs w:val="18"/>
              </w:rPr>
              <w:lastRenderedPageBreak/>
              <w:t>Planned deliverables for next period:</w:t>
            </w:r>
          </w:p>
        </w:tc>
        <w:tc>
          <w:tcPr>
            <w:tcW w:w="8065" w:type="dxa"/>
            <w:tcBorders>
              <w:top w:val="single" w:sz="4" w:space="0" w:color="808080"/>
              <w:left w:val="single" w:sz="4" w:space="0" w:color="808080"/>
              <w:bottom w:val="single" w:sz="4" w:space="0" w:color="808080"/>
              <w:right w:val="single" w:sz="4" w:space="0" w:color="808080"/>
            </w:tcBorders>
          </w:tcPr>
          <w:p w14:paraId="7CBA54BE" w14:textId="09F637E2" w:rsidR="006118AA" w:rsidRDefault="00F763DD" w:rsidP="00A11BFB">
            <w:pPr>
              <w:pStyle w:val="Header"/>
              <w:rPr>
                <w:szCs w:val="18"/>
              </w:rPr>
            </w:pPr>
            <w:r>
              <w:rPr>
                <w:szCs w:val="18"/>
              </w:rPr>
              <w:t xml:space="preserve">Leads </w:t>
            </w:r>
            <w:r w:rsidR="006118AA">
              <w:rPr>
                <w:szCs w:val="18"/>
              </w:rPr>
              <w:t xml:space="preserve"> – develop comms plan</w:t>
            </w:r>
            <w:r>
              <w:rPr>
                <w:szCs w:val="18"/>
              </w:rPr>
              <w:t xml:space="preserve"> as part of transition from SEND CofE to SEND Reform planning and mobilisation.</w:t>
            </w:r>
          </w:p>
          <w:p w14:paraId="4BD3E729" w14:textId="77777777" w:rsidR="006118AA" w:rsidRDefault="006118AA" w:rsidP="00A11BFB">
            <w:pPr>
              <w:pStyle w:val="Header"/>
              <w:rPr>
                <w:szCs w:val="18"/>
              </w:rPr>
            </w:pPr>
          </w:p>
          <w:p w14:paraId="314F9E15" w14:textId="1351FFED" w:rsidR="00A11BFB" w:rsidRDefault="00F558A8" w:rsidP="00A11BFB">
            <w:pPr>
              <w:pStyle w:val="Header"/>
              <w:rPr>
                <w:szCs w:val="18"/>
              </w:rPr>
            </w:pPr>
            <w:r w:rsidRPr="00F558A8">
              <w:rPr>
                <w:szCs w:val="18"/>
              </w:rPr>
              <w:t>Workstream 1 – Inclusi</w:t>
            </w:r>
            <w:r w:rsidR="001D46D9">
              <w:rPr>
                <w:szCs w:val="18"/>
              </w:rPr>
              <w:t>on</w:t>
            </w:r>
            <w:r w:rsidRPr="00F558A8">
              <w:rPr>
                <w:szCs w:val="18"/>
              </w:rPr>
              <w:t xml:space="preserve"> Charter </w:t>
            </w:r>
          </w:p>
          <w:p w14:paraId="406C60DE" w14:textId="77777777" w:rsidR="00CA1DBD" w:rsidRPr="000B669E" w:rsidRDefault="00CA1DBD" w:rsidP="00CA1DBD">
            <w:pPr>
              <w:numPr>
                <w:ilvl w:val="0"/>
                <w:numId w:val="8"/>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t>Complete mapping between Inclusion Charter promises and audit tool outputs.</w:t>
            </w:r>
          </w:p>
          <w:p w14:paraId="18CD0A2E" w14:textId="77777777" w:rsidR="00CA1DBD" w:rsidRPr="000B669E" w:rsidRDefault="00CA1DBD" w:rsidP="00CA1DBD">
            <w:pPr>
              <w:numPr>
                <w:ilvl w:val="0"/>
                <w:numId w:val="8"/>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t>Finalise product through further sessions with partners.</w:t>
            </w:r>
          </w:p>
          <w:p w14:paraId="567068C4" w14:textId="676423FB" w:rsidR="00A11BFB" w:rsidRPr="00F558A8" w:rsidRDefault="00CA1DBD" w:rsidP="00A11BFB">
            <w:pPr>
              <w:numPr>
                <w:ilvl w:val="0"/>
                <w:numId w:val="8"/>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t xml:space="preserve">Position the Charter clearly within SEND reform architecture. </w:t>
            </w:r>
          </w:p>
          <w:p w14:paraId="316FF894" w14:textId="780D1C01" w:rsidR="00A11BFB" w:rsidRDefault="00F558A8" w:rsidP="00A11BFB">
            <w:pPr>
              <w:pStyle w:val="Header"/>
              <w:rPr>
                <w:szCs w:val="18"/>
              </w:rPr>
            </w:pPr>
            <w:r w:rsidRPr="00F558A8">
              <w:rPr>
                <w:szCs w:val="18"/>
              </w:rPr>
              <w:t xml:space="preserve">Workstream 3 - Ordinarily Available Provision </w:t>
            </w:r>
          </w:p>
          <w:p w14:paraId="559C00F8" w14:textId="77777777" w:rsidR="003237A1" w:rsidRPr="000B669E" w:rsidRDefault="003237A1" w:rsidP="003237A1">
            <w:pPr>
              <w:numPr>
                <w:ilvl w:val="0"/>
                <w:numId w:val="5"/>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t>Deliver OAP conference and collate outputs.</w:t>
            </w:r>
          </w:p>
          <w:p w14:paraId="5CDE0CEC" w14:textId="77777777" w:rsidR="003237A1" w:rsidRPr="000B669E" w:rsidRDefault="003237A1" w:rsidP="003237A1">
            <w:pPr>
              <w:numPr>
                <w:ilvl w:val="0"/>
                <w:numId w:val="5"/>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t>Stress test outputs against evidence sources (e.g. What Works in SEND, CDC resources).</w:t>
            </w:r>
          </w:p>
          <w:p w14:paraId="4DA2A9FA" w14:textId="77777777" w:rsidR="003237A1" w:rsidRPr="000B669E" w:rsidRDefault="003237A1" w:rsidP="003237A1">
            <w:pPr>
              <w:numPr>
                <w:ilvl w:val="0"/>
                <w:numId w:val="5"/>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t>Draft OAP model and share with Centres of Excellence group.</w:t>
            </w:r>
          </w:p>
          <w:p w14:paraId="2B4D755B" w14:textId="62FDA1EE" w:rsidR="003237A1" w:rsidRPr="003237A1" w:rsidRDefault="003237A1" w:rsidP="00A11BFB">
            <w:pPr>
              <w:numPr>
                <w:ilvl w:val="0"/>
                <w:numId w:val="5"/>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t xml:space="preserve">Align OAP with Inclusion Charter and </w:t>
            </w:r>
            <w:r w:rsidR="006118AA">
              <w:rPr>
                <w:rFonts w:ascii="Segoe UI" w:hAnsi="Segoe UI" w:cs="Segoe UI"/>
                <w:sz w:val="21"/>
                <w:szCs w:val="21"/>
                <w:lang w:eastAsia="en-GB"/>
              </w:rPr>
              <w:t xml:space="preserve">the COMPASS Audit tool </w:t>
            </w:r>
            <w:r w:rsidRPr="000B669E">
              <w:rPr>
                <w:rFonts w:ascii="Segoe UI" w:hAnsi="Segoe UI" w:cs="Segoe UI"/>
                <w:sz w:val="21"/>
                <w:szCs w:val="21"/>
                <w:lang w:eastAsia="en-GB"/>
              </w:rPr>
              <w:t>and prepare for launch approach</w:t>
            </w:r>
            <w:r w:rsidR="00823B40">
              <w:rPr>
                <w:rFonts w:ascii="Segoe UI" w:hAnsi="Segoe UI" w:cs="Segoe UI"/>
                <w:sz w:val="21"/>
                <w:szCs w:val="21"/>
                <w:lang w:eastAsia="en-GB"/>
              </w:rPr>
              <w:t xml:space="preserve"> (cf Comms plan)</w:t>
            </w:r>
          </w:p>
          <w:p w14:paraId="28AABFDE" w14:textId="77777777" w:rsidR="00A11BFB" w:rsidRDefault="00A11BFB" w:rsidP="00A11BFB">
            <w:pPr>
              <w:pStyle w:val="Header"/>
              <w:rPr>
                <w:szCs w:val="18"/>
              </w:rPr>
            </w:pPr>
          </w:p>
          <w:p w14:paraId="398F71E7" w14:textId="3F72BD9D" w:rsidR="00A11BFB" w:rsidRDefault="00516453" w:rsidP="00A11BFB">
            <w:pPr>
              <w:pStyle w:val="Header"/>
              <w:rPr>
                <w:szCs w:val="18"/>
              </w:rPr>
            </w:pPr>
            <w:r w:rsidRPr="00516453">
              <w:rPr>
                <w:szCs w:val="18"/>
              </w:rPr>
              <w:t xml:space="preserve">Workstream 7 - Peer Panels / Experts at Hand </w:t>
            </w:r>
            <w:r w:rsidR="00F558A8" w:rsidRPr="00F558A8">
              <w:rPr>
                <w:szCs w:val="18"/>
              </w:rPr>
              <w:t xml:space="preserve"> </w:t>
            </w:r>
          </w:p>
          <w:p w14:paraId="4A82F493" w14:textId="77777777" w:rsidR="00CE64B8" w:rsidRPr="000B669E" w:rsidRDefault="00CE64B8" w:rsidP="00CE64B8">
            <w:pPr>
              <w:numPr>
                <w:ilvl w:val="0"/>
                <w:numId w:val="11"/>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t>Further definition of funding and delivery model once national guidance is clearer.</w:t>
            </w:r>
          </w:p>
          <w:p w14:paraId="1CED93EE" w14:textId="77777777" w:rsidR="00CE64B8" w:rsidRPr="000B669E" w:rsidRDefault="00CE64B8" w:rsidP="00CE64B8">
            <w:pPr>
              <w:numPr>
                <w:ilvl w:val="0"/>
                <w:numId w:val="11"/>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t>Continued alignment with OAP expectations and SEND reform strands.</w:t>
            </w:r>
          </w:p>
          <w:p w14:paraId="6E2777C2" w14:textId="2850BDAE" w:rsidR="00A11BFB" w:rsidRPr="00F558A8" w:rsidRDefault="00CE64B8" w:rsidP="00A11BFB">
            <w:pPr>
              <w:numPr>
                <w:ilvl w:val="0"/>
                <w:numId w:val="11"/>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t>Development of shared system narrative to support wider understanding</w:t>
            </w:r>
          </w:p>
          <w:p w14:paraId="7B2A40DD" w14:textId="5CDC6C8D" w:rsidR="00A11BFB" w:rsidRDefault="00F558A8" w:rsidP="00A11BFB">
            <w:pPr>
              <w:pStyle w:val="Header"/>
              <w:rPr>
                <w:szCs w:val="18"/>
              </w:rPr>
            </w:pPr>
            <w:r w:rsidRPr="00F558A8">
              <w:rPr>
                <w:szCs w:val="18"/>
              </w:rPr>
              <w:t xml:space="preserve">WS12 – Strategic Locality Future Planning Partnership </w:t>
            </w:r>
          </w:p>
          <w:p w14:paraId="608F91BF" w14:textId="69F06A7B" w:rsidR="00F558A8" w:rsidRPr="000B669E" w:rsidRDefault="00F558A8" w:rsidP="00F558A8">
            <w:pPr>
              <w:numPr>
                <w:ilvl w:val="0"/>
                <w:numId w:val="14"/>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t>Confirm co</w:t>
            </w:r>
            <w:r w:rsidRPr="000B669E">
              <w:rPr>
                <w:rFonts w:ascii="Segoe UI" w:hAnsi="Segoe UI" w:cs="Segoe UI"/>
                <w:sz w:val="21"/>
                <w:szCs w:val="21"/>
                <w:lang w:eastAsia="en-GB"/>
              </w:rPr>
              <w:noBreakHyphen/>
              <w:t>chairing arrangements.</w:t>
            </w:r>
          </w:p>
          <w:p w14:paraId="7ED7423F" w14:textId="77777777" w:rsidR="00F558A8" w:rsidRPr="000B669E" w:rsidRDefault="00F558A8" w:rsidP="00F558A8">
            <w:pPr>
              <w:numPr>
                <w:ilvl w:val="0"/>
                <w:numId w:val="14"/>
              </w:numPr>
              <w:spacing w:before="100" w:beforeAutospacing="1" w:after="100" w:afterAutospacing="1" w:line="300" w:lineRule="atLeast"/>
              <w:rPr>
                <w:rFonts w:ascii="Segoe UI" w:hAnsi="Segoe UI" w:cs="Segoe UI"/>
                <w:sz w:val="21"/>
                <w:szCs w:val="21"/>
                <w:lang w:eastAsia="en-GB"/>
              </w:rPr>
            </w:pPr>
            <w:r w:rsidRPr="000B669E">
              <w:rPr>
                <w:rFonts w:ascii="Segoe UI" w:hAnsi="Segoe UI" w:cs="Segoe UI"/>
                <w:sz w:val="21"/>
                <w:szCs w:val="21"/>
                <w:lang w:eastAsia="en-GB"/>
              </w:rPr>
              <w:t>Strengthen AP engagement.</w:t>
            </w:r>
          </w:p>
          <w:p w14:paraId="5C4E6A78" w14:textId="7E161B07" w:rsidR="00A11BFB" w:rsidRPr="005270B4" w:rsidRDefault="00F558A8" w:rsidP="00F558A8">
            <w:pPr>
              <w:numPr>
                <w:ilvl w:val="0"/>
                <w:numId w:val="14"/>
              </w:numPr>
              <w:spacing w:before="100" w:beforeAutospacing="1" w:after="100" w:afterAutospacing="1" w:line="300" w:lineRule="atLeast"/>
              <w:rPr>
                <w:szCs w:val="18"/>
              </w:rPr>
            </w:pPr>
            <w:r w:rsidRPr="000B669E">
              <w:rPr>
                <w:rFonts w:ascii="Segoe UI" w:hAnsi="Segoe UI" w:cs="Segoe UI"/>
                <w:sz w:val="21"/>
                <w:szCs w:val="21"/>
                <w:lang w:eastAsia="en-GB"/>
              </w:rPr>
              <w:t>Re</w:t>
            </w:r>
            <w:r w:rsidRPr="000B669E">
              <w:rPr>
                <w:rFonts w:ascii="Segoe UI" w:hAnsi="Segoe UI" w:cs="Segoe UI"/>
                <w:sz w:val="21"/>
                <w:szCs w:val="21"/>
                <w:lang w:eastAsia="en-GB"/>
              </w:rPr>
              <w:noBreakHyphen/>
              <w:t xml:space="preserve">position workstream within wider SEND reform, OAP and Peer Partnership framework. </w:t>
            </w:r>
          </w:p>
        </w:tc>
      </w:tr>
    </w:tbl>
    <w:p w14:paraId="64EF06D2" w14:textId="77777777" w:rsidR="0005295E" w:rsidRPr="00A521EC" w:rsidRDefault="0005295E">
      <w:pPr>
        <w:rPr>
          <w:sz w:val="6"/>
          <w:szCs w:val="8"/>
        </w:rPr>
      </w:pPr>
    </w:p>
    <w:tbl>
      <w:tblPr>
        <w:tblW w:w="104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95B3D7" w:themeFill="accent1" w:themeFillTint="99"/>
        <w:tblLook w:val="00A0" w:firstRow="1" w:lastRow="0" w:firstColumn="1" w:lastColumn="0" w:noHBand="0" w:noVBand="0"/>
      </w:tblPr>
      <w:tblGrid>
        <w:gridCol w:w="3725"/>
        <w:gridCol w:w="1091"/>
        <w:gridCol w:w="3548"/>
        <w:gridCol w:w="2126"/>
      </w:tblGrid>
      <w:tr w:rsidR="00C14FC2" w:rsidRPr="0015099A" w14:paraId="60385779" w14:textId="77777777" w:rsidTr="00904A03">
        <w:tc>
          <w:tcPr>
            <w:tcW w:w="10490" w:type="dxa"/>
            <w:gridSpan w:val="4"/>
            <w:shd w:val="clear" w:color="auto" w:fill="95B3D7" w:themeFill="accent1" w:themeFillTint="99"/>
          </w:tcPr>
          <w:p w14:paraId="2115E67F" w14:textId="39179713" w:rsidR="00C14FC2" w:rsidRPr="0015099A" w:rsidRDefault="00C14FC2" w:rsidP="00D07122">
            <w:pPr>
              <w:pStyle w:val="04TCCCTableCentresubhead"/>
            </w:pPr>
            <w:r>
              <w:lastRenderedPageBreak/>
              <w:t xml:space="preserve">Key </w:t>
            </w:r>
            <w:r w:rsidRPr="0015099A">
              <w:t>Risk</w:t>
            </w:r>
            <w:r>
              <w:t>s</w:t>
            </w:r>
            <w:r w:rsidRPr="0015099A">
              <w:t xml:space="preserve"> </w:t>
            </w:r>
            <w:r>
              <w:t>and Issues</w:t>
            </w:r>
          </w:p>
        </w:tc>
      </w:tr>
      <w:tr w:rsidR="00C14FC2" w:rsidRPr="006B5FD5" w14:paraId="36111E93" w14:textId="77777777" w:rsidTr="00904A03">
        <w:tblPrEx>
          <w:shd w:val="clear" w:color="auto" w:fill="auto"/>
          <w:tblLook w:val="01E0" w:firstRow="1" w:lastRow="1" w:firstColumn="1" w:lastColumn="1" w:noHBand="0" w:noVBand="0"/>
        </w:tblPrEx>
        <w:trPr>
          <w:cantSplit/>
          <w:trHeight w:val="604"/>
        </w:trPr>
        <w:tc>
          <w:tcPr>
            <w:tcW w:w="3725"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vAlign w:val="center"/>
            <w:hideMark/>
          </w:tcPr>
          <w:p w14:paraId="1B564955" w14:textId="77777777" w:rsidR="00C14FC2" w:rsidRPr="006B5FD5" w:rsidRDefault="00C14FC2" w:rsidP="00D07122">
            <w:pPr>
              <w:pStyle w:val="04TCCCTableCentresubhead"/>
            </w:pPr>
            <w:r w:rsidRPr="006B5FD5">
              <w:t xml:space="preserve">Description </w:t>
            </w:r>
            <w:r>
              <w:t>of R</w:t>
            </w:r>
            <w:r w:rsidRPr="006B5FD5">
              <w:t>isk</w:t>
            </w:r>
          </w:p>
        </w:tc>
        <w:tc>
          <w:tcPr>
            <w:tcW w:w="109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vAlign w:val="center"/>
            <w:hideMark/>
          </w:tcPr>
          <w:p w14:paraId="5847F5E1" w14:textId="0451CBB5" w:rsidR="00C14FC2" w:rsidRPr="00D07122" w:rsidRDefault="00D07122" w:rsidP="00D07122">
            <w:pPr>
              <w:pStyle w:val="04TCCCTableCentresubhead"/>
            </w:pPr>
            <w:r w:rsidRPr="00D07122">
              <w:rPr>
                <w:color w:val="FF0000"/>
              </w:rPr>
              <w:t>RAG</w:t>
            </w:r>
          </w:p>
        </w:tc>
        <w:tc>
          <w:tcPr>
            <w:tcW w:w="3548"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Pr>
          <w:p w14:paraId="5BB094D3" w14:textId="77777777" w:rsidR="00C14FC2" w:rsidRDefault="00C14FC2" w:rsidP="00D07122">
            <w:pPr>
              <w:pStyle w:val="04TCCCTableCentresubhead"/>
            </w:pPr>
          </w:p>
          <w:p w14:paraId="204A458F" w14:textId="77777777" w:rsidR="00C14FC2" w:rsidRPr="006B5FD5" w:rsidRDefault="00C14FC2" w:rsidP="00D07122">
            <w:pPr>
              <w:pStyle w:val="04TCCCTableCentresubhead"/>
            </w:pPr>
            <w:r w:rsidRPr="006B5FD5">
              <w:t>Mitigation Plan</w:t>
            </w:r>
          </w:p>
        </w:tc>
        <w:tc>
          <w:tcPr>
            <w:tcW w:w="2126"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vAlign w:val="center"/>
          </w:tcPr>
          <w:p w14:paraId="5C5B4FCC" w14:textId="77777777" w:rsidR="00C14FC2" w:rsidRPr="006B5FD5" w:rsidRDefault="00C14FC2" w:rsidP="00D07122">
            <w:pPr>
              <w:pStyle w:val="04TCCCTableCentresubhead"/>
            </w:pPr>
            <w:r>
              <w:t>Re-Rated RAG after mitigation</w:t>
            </w:r>
          </w:p>
        </w:tc>
      </w:tr>
      <w:tr w:rsidR="00C14FC2" w:rsidRPr="00BD777A" w14:paraId="501AC170" w14:textId="77777777" w:rsidTr="00904A03">
        <w:tblPrEx>
          <w:shd w:val="clear" w:color="auto" w:fill="auto"/>
          <w:tblLook w:val="01E0" w:firstRow="1" w:lastRow="1" w:firstColumn="1" w:lastColumn="1" w:noHBand="0" w:noVBand="0"/>
        </w:tblPrEx>
        <w:trPr>
          <w:cantSplit/>
        </w:trPr>
        <w:tc>
          <w:tcPr>
            <w:tcW w:w="3725" w:type="dxa"/>
            <w:tcBorders>
              <w:top w:val="single" w:sz="4" w:space="0" w:color="808080"/>
              <w:left w:val="single" w:sz="4" w:space="0" w:color="808080"/>
              <w:bottom w:val="single" w:sz="4" w:space="0" w:color="808080"/>
              <w:right w:val="single" w:sz="4" w:space="0" w:color="808080"/>
            </w:tcBorders>
          </w:tcPr>
          <w:p w14:paraId="49CEC298" w14:textId="77777777" w:rsidR="00C14FC2" w:rsidRPr="00BD777A" w:rsidRDefault="00C14FC2" w:rsidP="00D07122">
            <w:pPr>
              <w:pStyle w:val="04TCCCTableCentresubhead"/>
            </w:pPr>
          </w:p>
        </w:tc>
        <w:tc>
          <w:tcPr>
            <w:tcW w:w="1091" w:type="dxa"/>
            <w:tcBorders>
              <w:top w:val="single" w:sz="4" w:space="0" w:color="808080"/>
              <w:left w:val="single" w:sz="4" w:space="0" w:color="808080"/>
              <w:bottom w:val="single" w:sz="4" w:space="0" w:color="808080"/>
              <w:right w:val="single" w:sz="4" w:space="0" w:color="808080"/>
            </w:tcBorders>
          </w:tcPr>
          <w:p w14:paraId="1C0C2F37" w14:textId="77777777" w:rsidR="00C14FC2" w:rsidRPr="00D07122" w:rsidRDefault="00C14FC2" w:rsidP="00D07122">
            <w:pPr>
              <w:pStyle w:val="04TCCCTableCentresubhead"/>
            </w:pPr>
          </w:p>
        </w:tc>
        <w:tc>
          <w:tcPr>
            <w:tcW w:w="3548" w:type="dxa"/>
            <w:tcBorders>
              <w:top w:val="single" w:sz="4" w:space="0" w:color="808080"/>
              <w:left w:val="single" w:sz="4" w:space="0" w:color="808080"/>
              <w:bottom w:val="single" w:sz="4" w:space="0" w:color="808080"/>
              <w:right w:val="single" w:sz="4" w:space="0" w:color="808080"/>
            </w:tcBorders>
          </w:tcPr>
          <w:p w14:paraId="1A7C1D56" w14:textId="77777777" w:rsidR="00C14FC2" w:rsidRPr="00BD777A" w:rsidRDefault="00C14FC2" w:rsidP="00D07122">
            <w:pPr>
              <w:pStyle w:val="04TCCCTableCentresubhead"/>
            </w:pPr>
          </w:p>
        </w:tc>
        <w:tc>
          <w:tcPr>
            <w:tcW w:w="2126" w:type="dxa"/>
            <w:tcBorders>
              <w:top w:val="single" w:sz="4" w:space="0" w:color="808080"/>
              <w:left w:val="single" w:sz="4" w:space="0" w:color="808080"/>
              <w:bottom w:val="single" w:sz="4" w:space="0" w:color="808080"/>
              <w:right w:val="single" w:sz="4" w:space="0" w:color="808080"/>
            </w:tcBorders>
          </w:tcPr>
          <w:p w14:paraId="267E233E" w14:textId="77777777" w:rsidR="00C14FC2" w:rsidRPr="00BD777A" w:rsidRDefault="00C14FC2" w:rsidP="00D07122">
            <w:pPr>
              <w:pStyle w:val="04TCCCTableCentresubhead"/>
            </w:pPr>
          </w:p>
        </w:tc>
      </w:tr>
      <w:tr w:rsidR="00C14FC2" w:rsidRPr="00BD777A" w14:paraId="1B56A838" w14:textId="77777777" w:rsidTr="00904A03">
        <w:tblPrEx>
          <w:shd w:val="clear" w:color="auto" w:fill="auto"/>
          <w:tblLook w:val="01E0" w:firstRow="1" w:lastRow="1" w:firstColumn="1" w:lastColumn="1" w:noHBand="0" w:noVBand="0"/>
        </w:tblPrEx>
        <w:trPr>
          <w:cantSplit/>
        </w:trPr>
        <w:tc>
          <w:tcPr>
            <w:tcW w:w="3725" w:type="dxa"/>
            <w:tcBorders>
              <w:top w:val="single" w:sz="4" w:space="0" w:color="808080"/>
              <w:left w:val="single" w:sz="4" w:space="0" w:color="808080"/>
              <w:bottom w:val="single" w:sz="4" w:space="0" w:color="808080"/>
              <w:right w:val="single" w:sz="4" w:space="0" w:color="808080"/>
            </w:tcBorders>
          </w:tcPr>
          <w:p w14:paraId="2D7BBD35" w14:textId="77777777" w:rsidR="00C14FC2" w:rsidRPr="00BD777A" w:rsidRDefault="00C14FC2" w:rsidP="00D07122">
            <w:pPr>
              <w:pStyle w:val="04TCCCTableCentresubhead"/>
            </w:pPr>
          </w:p>
        </w:tc>
        <w:tc>
          <w:tcPr>
            <w:tcW w:w="1091" w:type="dxa"/>
            <w:tcBorders>
              <w:top w:val="single" w:sz="4" w:space="0" w:color="808080"/>
              <w:left w:val="single" w:sz="4" w:space="0" w:color="808080"/>
              <w:bottom w:val="single" w:sz="4" w:space="0" w:color="808080"/>
              <w:right w:val="single" w:sz="4" w:space="0" w:color="808080"/>
            </w:tcBorders>
          </w:tcPr>
          <w:p w14:paraId="7F1653B8" w14:textId="77777777" w:rsidR="00C14FC2" w:rsidRPr="00D07122" w:rsidRDefault="00C14FC2" w:rsidP="00D07122">
            <w:pPr>
              <w:pStyle w:val="04TCCCTableCentresubhead"/>
            </w:pPr>
          </w:p>
        </w:tc>
        <w:tc>
          <w:tcPr>
            <w:tcW w:w="3548" w:type="dxa"/>
            <w:tcBorders>
              <w:top w:val="single" w:sz="4" w:space="0" w:color="808080"/>
              <w:left w:val="single" w:sz="4" w:space="0" w:color="808080"/>
              <w:bottom w:val="single" w:sz="4" w:space="0" w:color="808080"/>
              <w:right w:val="single" w:sz="4" w:space="0" w:color="808080"/>
            </w:tcBorders>
          </w:tcPr>
          <w:p w14:paraId="1696C643" w14:textId="77777777" w:rsidR="00C14FC2" w:rsidRPr="00BD777A" w:rsidRDefault="00C14FC2" w:rsidP="00D07122">
            <w:pPr>
              <w:pStyle w:val="04TCCCTableCentresubhead"/>
            </w:pPr>
          </w:p>
        </w:tc>
        <w:tc>
          <w:tcPr>
            <w:tcW w:w="2126" w:type="dxa"/>
            <w:tcBorders>
              <w:top w:val="single" w:sz="4" w:space="0" w:color="808080"/>
              <w:left w:val="single" w:sz="4" w:space="0" w:color="808080"/>
              <w:bottom w:val="single" w:sz="4" w:space="0" w:color="808080"/>
              <w:right w:val="single" w:sz="4" w:space="0" w:color="808080"/>
            </w:tcBorders>
          </w:tcPr>
          <w:p w14:paraId="3140BB1A" w14:textId="77777777" w:rsidR="00C14FC2" w:rsidRPr="00BD777A" w:rsidRDefault="00C14FC2" w:rsidP="00D07122">
            <w:pPr>
              <w:pStyle w:val="04TCCCTableCentresubhead"/>
            </w:pPr>
          </w:p>
        </w:tc>
      </w:tr>
      <w:tr w:rsidR="00C14FC2" w:rsidRPr="006B5FD5" w14:paraId="505481FE" w14:textId="77777777" w:rsidTr="00C14FC2">
        <w:tblPrEx>
          <w:shd w:val="clear" w:color="auto" w:fill="auto"/>
          <w:tblLook w:val="01E0" w:firstRow="1" w:lastRow="1" w:firstColumn="1" w:lastColumn="1" w:noHBand="0" w:noVBand="0"/>
        </w:tblPrEx>
        <w:trPr>
          <w:cantSplit/>
        </w:trPr>
        <w:tc>
          <w:tcPr>
            <w:tcW w:w="3725"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Pr>
          <w:p w14:paraId="66CB0546" w14:textId="736C8E3B" w:rsidR="00C14FC2" w:rsidRPr="006B5FD5" w:rsidRDefault="00C14FC2" w:rsidP="00D07122">
            <w:pPr>
              <w:pStyle w:val="04TCCCTableCentresubhead"/>
            </w:pPr>
            <w:r w:rsidRPr="006B5FD5">
              <w:t xml:space="preserve">Description </w:t>
            </w:r>
            <w:r>
              <w:t>of Issue</w:t>
            </w:r>
          </w:p>
        </w:tc>
        <w:tc>
          <w:tcPr>
            <w:tcW w:w="109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Pr>
          <w:p w14:paraId="159646B1" w14:textId="1BACED23" w:rsidR="00C14FC2" w:rsidRPr="00D07122" w:rsidRDefault="00C14FC2" w:rsidP="00D07122">
            <w:pPr>
              <w:pStyle w:val="04TCCCTableCentresubhead"/>
            </w:pPr>
            <w:r w:rsidRPr="00D07122">
              <w:rPr>
                <w:color w:val="FF0000"/>
              </w:rPr>
              <w:t>RAG</w:t>
            </w:r>
          </w:p>
        </w:tc>
        <w:tc>
          <w:tcPr>
            <w:tcW w:w="3548"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Pr>
          <w:p w14:paraId="4122BC3B" w14:textId="77777777" w:rsidR="00C14FC2" w:rsidRDefault="00C14FC2" w:rsidP="00D07122">
            <w:pPr>
              <w:pStyle w:val="04TCCCTableCentresubhead"/>
            </w:pPr>
          </w:p>
          <w:p w14:paraId="6C9C0BA8" w14:textId="77777777" w:rsidR="00C14FC2" w:rsidRPr="006B5FD5" w:rsidRDefault="00C14FC2" w:rsidP="00D07122">
            <w:pPr>
              <w:pStyle w:val="04TCCCTableCentresubhead"/>
            </w:pPr>
            <w:r w:rsidRPr="006B5FD5">
              <w:t>Mitigation Plan</w:t>
            </w:r>
          </w:p>
        </w:tc>
        <w:tc>
          <w:tcPr>
            <w:tcW w:w="2126"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tcPr>
          <w:p w14:paraId="39781F46" w14:textId="77777777" w:rsidR="00C14FC2" w:rsidRPr="006B5FD5" w:rsidRDefault="00C14FC2" w:rsidP="00D07122">
            <w:pPr>
              <w:pStyle w:val="04TCCCTableCentresubhead"/>
            </w:pPr>
            <w:r>
              <w:t>Re-Rated RAG after mitigation</w:t>
            </w:r>
          </w:p>
        </w:tc>
      </w:tr>
      <w:tr w:rsidR="00C14FC2" w:rsidRPr="00BD777A" w14:paraId="1B72C533" w14:textId="77777777" w:rsidTr="00C14FC2">
        <w:tblPrEx>
          <w:shd w:val="clear" w:color="auto" w:fill="auto"/>
          <w:tblLook w:val="01E0" w:firstRow="1" w:lastRow="1" w:firstColumn="1" w:lastColumn="1" w:noHBand="0" w:noVBand="0"/>
        </w:tblPrEx>
        <w:trPr>
          <w:cantSplit/>
        </w:trPr>
        <w:tc>
          <w:tcPr>
            <w:tcW w:w="3725" w:type="dxa"/>
            <w:tcBorders>
              <w:top w:val="single" w:sz="4" w:space="0" w:color="808080"/>
              <w:left w:val="single" w:sz="4" w:space="0" w:color="808080"/>
              <w:bottom w:val="single" w:sz="4" w:space="0" w:color="808080"/>
              <w:right w:val="single" w:sz="4" w:space="0" w:color="808080"/>
            </w:tcBorders>
          </w:tcPr>
          <w:p w14:paraId="550BC4A4" w14:textId="77777777" w:rsidR="00C14FC2" w:rsidRPr="00BD777A" w:rsidRDefault="00C14FC2" w:rsidP="00D07122">
            <w:pPr>
              <w:pStyle w:val="04TCCCTableCentresubhead"/>
            </w:pPr>
          </w:p>
        </w:tc>
        <w:tc>
          <w:tcPr>
            <w:tcW w:w="1091" w:type="dxa"/>
            <w:tcBorders>
              <w:top w:val="single" w:sz="4" w:space="0" w:color="808080"/>
              <w:left w:val="single" w:sz="4" w:space="0" w:color="808080"/>
              <w:bottom w:val="single" w:sz="4" w:space="0" w:color="808080"/>
              <w:right w:val="single" w:sz="4" w:space="0" w:color="808080"/>
            </w:tcBorders>
          </w:tcPr>
          <w:p w14:paraId="3F83997A" w14:textId="77777777" w:rsidR="00C14FC2" w:rsidRPr="00D07122" w:rsidRDefault="00C14FC2" w:rsidP="00D07122">
            <w:pPr>
              <w:pStyle w:val="04TCCCTableCentresubhead"/>
            </w:pPr>
          </w:p>
        </w:tc>
        <w:tc>
          <w:tcPr>
            <w:tcW w:w="3548" w:type="dxa"/>
            <w:tcBorders>
              <w:top w:val="single" w:sz="4" w:space="0" w:color="808080"/>
              <w:left w:val="single" w:sz="4" w:space="0" w:color="808080"/>
              <w:bottom w:val="single" w:sz="4" w:space="0" w:color="808080"/>
              <w:right w:val="single" w:sz="4" w:space="0" w:color="808080"/>
            </w:tcBorders>
          </w:tcPr>
          <w:p w14:paraId="36A3A541" w14:textId="77777777" w:rsidR="00C14FC2" w:rsidRPr="00BD777A" w:rsidRDefault="00C14FC2" w:rsidP="00D07122">
            <w:pPr>
              <w:pStyle w:val="04TCCCTableCentresubhead"/>
            </w:pPr>
          </w:p>
        </w:tc>
        <w:tc>
          <w:tcPr>
            <w:tcW w:w="2126" w:type="dxa"/>
            <w:tcBorders>
              <w:top w:val="single" w:sz="4" w:space="0" w:color="808080"/>
              <w:left w:val="single" w:sz="4" w:space="0" w:color="808080"/>
              <w:bottom w:val="single" w:sz="4" w:space="0" w:color="808080"/>
              <w:right w:val="single" w:sz="4" w:space="0" w:color="808080"/>
            </w:tcBorders>
          </w:tcPr>
          <w:p w14:paraId="3F07707A" w14:textId="77777777" w:rsidR="00C14FC2" w:rsidRPr="00BD777A" w:rsidRDefault="00C14FC2" w:rsidP="00D07122">
            <w:pPr>
              <w:pStyle w:val="04TCCCTableCentresubhead"/>
            </w:pPr>
          </w:p>
        </w:tc>
      </w:tr>
      <w:tr w:rsidR="00C14FC2" w:rsidRPr="00BD777A" w14:paraId="6CC16A4B" w14:textId="77777777" w:rsidTr="00C14FC2">
        <w:tblPrEx>
          <w:shd w:val="clear" w:color="auto" w:fill="auto"/>
          <w:tblLook w:val="01E0" w:firstRow="1" w:lastRow="1" w:firstColumn="1" w:lastColumn="1" w:noHBand="0" w:noVBand="0"/>
        </w:tblPrEx>
        <w:trPr>
          <w:cantSplit/>
        </w:trPr>
        <w:tc>
          <w:tcPr>
            <w:tcW w:w="3725" w:type="dxa"/>
            <w:tcBorders>
              <w:top w:val="single" w:sz="4" w:space="0" w:color="808080"/>
              <w:left w:val="single" w:sz="4" w:space="0" w:color="808080"/>
              <w:bottom w:val="single" w:sz="4" w:space="0" w:color="808080"/>
              <w:right w:val="single" w:sz="4" w:space="0" w:color="808080"/>
            </w:tcBorders>
          </w:tcPr>
          <w:p w14:paraId="1D03F6F1" w14:textId="77777777" w:rsidR="00C14FC2" w:rsidRPr="00BD777A" w:rsidRDefault="00C14FC2" w:rsidP="00D07122">
            <w:pPr>
              <w:pStyle w:val="04TCCCTableCentresubhead"/>
            </w:pPr>
          </w:p>
        </w:tc>
        <w:tc>
          <w:tcPr>
            <w:tcW w:w="1091" w:type="dxa"/>
            <w:tcBorders>
              <w:top w:val="single" w:sz="4" w:space="0" w:color="808080"/>
              <w:left w:val="single" w:sz="4" w:space="0" w:color="808080"/>
              <w:bottom w:val="single" w:sz="4" w:space="0" w:color="808080"/>
              <w:right w:val="single" w:sz="4" w:space="0" w:color="808080"/>
            </w:tcBorders>
          </w:tcPr>
          <w:p w14:paraId="3C2544FB" w14:textId="77777777" w:rsidR="00C14FC2" w:rsidRPr="00D07122" w:rsidRDefault="00C14FC2" w:rsidP="00D07122">
            <w:pPr>
              <w:pStyle w:val="04TCCCTableCentresubhead"/>
            </w:pPr>
          </w:p>
        </w:tc>
        <w:tc>
          <w:tcPr>
            <w:tcW w:w="3548" w:type="dxa"/>
            <w:tcBorders>
              <w:top w:val="single" w:sz="4" w:space="0" w:color="808080"/>
              <w:left w:val="single" w:sz="4" w:space="0" w:color="808080"/>
              <w:bottom w:val="single" w:sz="4" w:space="0" w:color="808080"/>
              <w:right w:val="single" w:sz="4" w:space="0" w:color="808080"/>
            </w:tcBorders>
          </w:tcPr>
          <w:p w14:paraId="7CD42B52" w14:textId="77777777" w:rsidR="00C14FC2" w:rsidRPr="00BD777A" w:rsidRDefault="00C14FC2" w:rsidP="00D07122">
            <w:pPr>
              <w:pStyle w:val="04TCCCTableCentresubhead"/>
            </w:pPr>
          </w:p>
        </w:tc>
        <w:tc>
          <w:tcPr>
            <w:tcW w:w="2126" w:type="dxa"/>
            <w:tcBorders>
              <w:top w:val="single" w:sz="4" w:space="0" w:color="808080"/>
              <w:left w:val="single" w:sz="4" w:space="0" w:color="808080"/>
              <w:bottom w:val="single" w:sz="4" w:space="0" w:color="808080"/>
              <w:right w:val="single" w:sz="4" w:space="0" w:color="808080"/>
            </w:tcBorders>
          </w:tcPr>
          <w:p w14:paraId="728ED655" w14:textId="77777777" w:rsidR="00C14FC2" w:rsidRPr="00BD777A" w:rsidRDefault="00C14FC2" w:rsidP="00D07122">
            <w:pPr>
              <w:pStyle w:val="04TCCCTableCentresubhead"/>
            </w:pPr>
          </w:p>
        </w:tc>
      </w:tr>
    </w:tbl>
    <w:p w14:paraId="3C86F947" w14:textId="77777777" w:rsidR="00C14FC2" w:rsidRPr="00A521EC" w:rsidRDefault="00C14FC2">
      <w:pPr>
        <w:rPr>
          <w:sz w:val="6"/>
          <w:szCs w:val="8"/>
        </w:rPr>
      </w:pPr>
    </w:p>
    <w:tbl>
      <w:tblPr>
        <w:tblW w:w="104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95B3D7" w:themeFill="accent1" w:themeFillTint="99"/>
        <w:tblLook w:val="00A0" w:firstRow="1" w:lastRow="0" w:firstColumn="1" w:lastColumn="0" w:noHBand="0" w:noVBand="0"/>
      </w:tblPr>
      <w:tblGrid>
        <w:gridCol w:w="3725"/>
        <w:gridCol w:w="4639"/>
        <w:gridCol w:w="2126"/>
      </w:tblGrid>
      <w:tr w:rsidR="00E85E19" w:rsidRPr="0015099A" w14:paraId="5564EFCD" w14:textId="77777777" w:rsidTr="005E60D2">
        <w:tc>
          <w:tcPr>
            <w:tcW w:w="10490" w:type="dxa"/>
            <w:gridSpan w:val="3"/>
            <w:shd w:val="clear" w:color="auto" w:fill="95B3D7" w:themeFill="accent1" w:themeFillTint="99"/>
          </w:tcPr>
          <w:p w14:paraId="78830508" w14:textId="04E4B99C" w:rsidR="00E85E19" w:rsidRPr="0015099A" w:rsidRDefault="00E85E19" w:rsidP="005E60D2">
            <w:pPr>
              <w:pStyle w:val="04TCCCTableCentresubhead"/>
            </w:pPr>
            <w:r>
              <w:t>Key dependencies</w:t>
            </w:r>
          </w:p>
        </w:tc>
      </w:tr>
      <w:tr w:rsidR="0010067F" w:rsidRPr="006B5FD5" w14:paraId="3D9BC51F" w14:textId="77777777" w:rsidTr="00A521EC">
        <w:tblPrEx>
          <w:shd w:val="clear" w:color="auto" w:fill="auto"/>
          <w:tblLook w:val="01E0" w:firstRow="1" w:lastRow="1" w:firstColumn="1" w:lastColumn="1" w:noHBand="0" w:noVBand="0"/>
        </w:tblPrEx>
        <w:trPr>
          <w:cantSplit/>
          <w:trHeight w:val="372"/>
        </w:trPr>
        <w:tc>
          <w:tcPr>
            <w:tcW w:w="3725"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vAlign w:val="center"/>
            <w:hideMark/>
          </w:tcPr>
          <w:p w14:paraId="1C507AE5" w14:textId="7578F4B0" w:rsidR="0010067F" w:rsidRPr="006B5FD5" w:rsidRDefault="0010067F" w:rsidP="005E60D2">
            <w:pPr>
              <w:pStyle w:val="04TCCCTableCentresubhead"/>
            </w:pPr>
            <w:r>
              <w:t>Brief d</w:t>
            </w:r>
            <w:r w:rsidRPr="006B5FD5">
              <w:t xml:space="preserve">escription </w:t>
            </w:r>
            <w:r>
              <w:t>of dependency</w:t>
            </w:r>
          </w:p>
        </w:tc>
        <w:tc>
          <w:tcPr>
            <w:tcW w:w="4639"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vAlign w:val="center"/>
            <w:hideMark/>
          </w:tcPr>
          <w:p w14:paraId="29AFF090" w14:textId="1639130B" w:rsidR="0010067F" w:rsidRPr="006B5FD5" w:rsidRDefault="00A521EC" w:rsidP="005E60D2">
            <w:pPr>
              <w:pStyle w:val="04TCCCTableCentresubhead"/>
            </w:pPr>
            <w:r>
              <w:t>Jointly agreed plan in place</w:t>
            </w:r>
          </w:p>
        </w:tc>
        <w:tc>
          <w:tcPr>
            <w:tcW w:w="2126"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vAlign w:val="center"/>
          </w:tcPr>
          <w:p w14:paraId="5DAC7F48" w14:textId="7522CE39" w:rsidR="0010067F" w:rsidRPr="006B5FD5" w:rsidRDefault="00A521EC" w:rsidP="005E60D2">
            <w:pPr>
              <w:pStyle w:val="04TCCCTableCentresubhead"/>
            </w:pPr>
            <w:r>
              <w:t>Confidence</w:t>
            </w:r>
          </w:p>
        </w:tc>
      </w:tr>
      <w:tr w:rsidR="0010067F" w:rsidRPr="00BD777A" w14:paraId="3B0BEA6B" w14:textId="77777777" w:rsidTr="00995B63">
        <w:tblPrEx>
          <w:shd w:val="clear" w:color="auto" w:fill="auto"/>
          <w:tblLook w:val="01E0" w:firstRow="1" w:lastRow="1" w:firstColumn="1" w:lastColumn="1" w:noHBand="0" w:noVBand="0"/>
        </w:tblPrEx>
        <w:trPr>
          <w:cantSplit/>
        </w:trPr>
        <w:tc>
          <w:tcPr>
            <w:tcW w:w="3725" w:type="dxa"/>
            <w:tcBorders>
              <w:top w:val="single" w:sz="4" w:space="0" w:color="808080"/>
              <w:left w:val="single" w:sz="4" w:space="0" w:color="808080"/>
              <w:bottom w:val="single" w:sz="4" w:space="0" w:color="808080"/>
              <w:right w:val="single" w:sz="4" w:space="0" w:color="808080"/>
            </w:tcBorders>
          </w:tcPr>
          <w:p w14:paraId="1BE6198B" w14:textId="77777777" w:rsidR="0010067F" w:rsidRPr="00BD777A" w:rsidRDefault="0010067F" w:rsidP="005E60D2">
            <w:pPr>
              <w:pStyle w:val="04TCCCTableCentresubhead"/>
            </w:pPr>
          </w:p>
        </w:tc>
        <w:tc>
          <w:tcPr>
            <w:tcW w:w="4639" w:type="dxa"/>
            <w:tcBorders>
              <w:top w:val="single" w:sz="4" w:space="0" w:color="808080"/>
              <w:left w:val="single" w:sz="4" w:space="0" w:color="808080"/>
              <w:bottom w:val="single" w:sz="4" w:space="0" w:color="808080"/>
              <w:right w:val="single" w:sz="4" w:space="0" w:color="808080"/>
            </w:tcBorders>
          </w:tcPr>
          <w:p w14:paraId="63688182" w14:textId="77777777" w:rsidR="0010067F" w:rsidRPr="00BD777A" w:rsidRDefault="0010067F" w:rsidP="005E60D2">
            <w:pPr>
              <w:pStyle w:val="04TCCCTableCentresubhead"/>
            </w:pPr>
          </w:p>
        </w:tc>
        <w:tc>
          <w:tcPr>
            <w:tcW w:w="2126" w:type="dxa"/>
            <w:tcBorders>
              <w:top w:val="single" w:sz="4" w:space="0" w:color="808080"/>
              <w:left w:val="single" w:sz="4" w:space="0" w:color="808080"/>
              <w:bottom w:val="single" w:sz="4" w:space="0" w:color="808080"/>
              <w:right w:val="single" w:sz="4" w:space="0" w:color="808080"/>
            </w:tcBorders>
          </w:tcPr>
          <w:p w14:paraId="3B3D55A8" w14:textId="77777777" w:rsidR="0010067F" w:rsidRPr="00BD777A" w:rsidRDefault="0010067F" w:rsidP="005E60D2">
            <w:pPr>
              <w:pStyle w:val="04TCCCTableCentresubhead"/>
            </w:pPr>
          </w:p>
        </w:tc>
      </w:tr>
      <w:tr w:rsidR="0010067F" w:rsidRPr="00BD777A" w14:paraId="1BD60504" w14:textId="77777777" w:rsidTr="005C55BB">
        <w:tblPrEx>
          <w:shd w:val="clear" w:color="auto" w:fill="auto"/>
          <w:tblLook w:val="01E0" w:firstRow="1" w:lastRow="1" w:firstColumn="1" w:lastColumn="1" w:noHBand="0" w:noVBand="0"/>
        </w:tblPrEx>
        <w:trPr>
          <w:cantSplit/>
        </w:trPr>
        <w:tc>
          <w:tcPr>
            <w:tcW w:w="3725" w:type="dxa"/>
            <w:tcBorders>
              <w:top w:val="single" w:sz="4" w:space="0" w:color="808080"/>
              <w:left w:val="single" w:sz="4" w:space="0" w:color="808080"/>
              <w:bottom w:val="single" w:sz="4" w:space="0" w:color="808080"/>
              <w:right w:val="single" w:sz="4" w:space="0" w:color="808080"/>
            </w:tcBorders>
          </w:tcPr>
          <w:p w14:paraId="532CE349" w14:textId="77777777" w:rsidR="0010067F" w:rsidRPr="00BD777A" w:rsidRDefault="0010067F" w:rsidP="005E60D2">
            <w:pPr>
              <w:pStyle w:val="04TCCCTableCentresubhead"/>
            </w:pPr>
          </w:p>
        </w:tc>
        <w:tc>
          <w:tcPr>
            <w:tcW w:w="4639" w:type="dxa"/>
            <w:tcBorders>
              <w:top w:val="single" w:sz="4" w:space="0" w:color="808080"/>
              <w:left w:val="single" w:sz="4" w:space="0" w:color="808080"/>
              <w:bottom w:val="single" w:sz="4" w:space="0" w:color="808080"/>
              <w:right w:val="single" w:sz="4" w:space="0" w:color="808080"/>
            </w:tcBorders>
          </w:tcPr>
          <w:p w14:paraId="4B7EA1D9" w14:textId="77777777" w:rsidR="0010067F" w:rsidRPr="00BD777A" w:rsidRDefault="0010067F" w:rsidP="005E60D2">
            <w:pPr>
              <w:pStyle w:val="04TCCCTableCentresubhead"/>
            </w:pPr>
          </w:p>
        </w:tc>
        <w:tc>
          <w:tcPr>
            <w:tcW w:w="2126" w:type="dxa"/>
            <w:tcBorders>
              <w:top w:val="single" w:sz="4" w:space="0" w:color="808080"/>
              <w:left w:val="single" w:sz="4" w:space="0" w:color="808080"/>
              <w:bottom w:val="single" w:sz="4" w:space="0" w:color="808080"/>
              <w:right w:val="single" w:sz="4" w:space="0" w:color="808080"/>
            </w:tcBorders>
          </w:tcPr>
          <w:p w14:paraId="5413EF74" w14:textId="77777777" w:rsidR="0010067F" w:rsidRPr="00BD777A" w:rsidRDefault="0010067F" w:rsidP="005E60D2">
            <w:pPr>
              <w:pStyle w:val="04TCCCTableCentresubhead"/>
            </w:pPr>
          </w:p>
        </w:tc>
      </w:tr>
    </w:tbl>
    <w:p w14:paraId="367D1B09" w14:textId="77777777" w:rsidR="00E85E19" w:rsidRPr="00002FD1" w:rsidRDefault="00E85E19"/>
    <w:sectPr w:rsidR="00E85E19" w:rsidRPr="00002FD1" w:rsidSect="00FC0BCD">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B7CDF" w14:textId="77777777" w:rsidR="00A663A2" w:rsidRDefault="00A663A2" w:rsidP="0063023E">
      <w:pPr>
        <w:spacing w:before="0" w:after="0"/>
      </w:pPr>
      <w:r>
        <w:separator/>
      </w:r>
    </w:p>
  </w:endnote>
  <w:endnote w:type="continuationSeparator" w:id="0">
    <w:p w14:paraId="71BDBF8F" w14:textId="77777777" w:rsidR="00A663A2" w:rsidRDefault="00A663A2" w:rsidP="006302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76C7" w14:textId="0767F9E9" w:rsidR="0066145E" w:rsidRDefault="00E85E19">
    <w:pPr>
      <w:pStyle w:val="Footer"/>
    </w:pPr>
    <w:r>
      <w:rPr>
        <w:noProof/>
      </w:rPr>
      <w:drawing>
        <wp:inline distT="0" distB="0" distL="0" distR="0" wp14:anchorId="3AEB0B07" wp14:editId="37240453">
          <wp:extent cx="533400" cy="48451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42564" cy="4928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5E7C7" w14:textId="77777777" w:rsidR="00A663A2" w:rsidRDefault="00A663A2" w:rsidP="0063023E">
      <w:pPr>
        <w:spacing w:before="0" w:after="0"/>
      </w:pPr>
      <w:r>
        <w:separator/>
      </w:r>
    </w:p>
  </w:footnote>
  <w:footnote w:type="continuationSeparator" w:id="0">
    <w:p w14:paraId="0AAB7225" w14:textId="77777777" w:rsidR="00A663A2" w:rsidRDefault="00A663A2" w:rsidP="0063023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19AD" w14:textId="4839F0D9" w:rsidR="0063023E" w:rsidRPr="0063023E" w:rsidRDefault="009638CC">
    <w:pPr>
      <w:pStyle w:val="Header"/>
      <w:rPr>
        <w:sz w:val="32"/>
        <w:szCs w:val="36"/>
      </w:rPr>
    </w:pPr>
    <w:r w:rsidRPr="008F1845">
      <w:rPr>
        <w:noProof/>
        <w:sz w:val="32"/>
        <w:szCs w:val="36"/>
      </w:rPr>
      <mc:AlternateContent>
        <mc:Choice Requires="wps">
          <w:drawing>
            <wp:anchor distT="0" distB="0" distL="114300" distR="114300" simplePos="0" relativeHeight="251658241" behindDoc="0" locked="0" layoutInCell="0" allowOverlap="1" wp14:anchorId="64DCE2B5" wp14:editId="383F27FC">
              <wp:simplePos x="0" y="0"/>
              <wp:positionH relativeFrom="page">
                <wp:posOffset>0</wp:posOffset>
              </wp:positionH>
              <wp:positionV relativeFrom="page">
                <wp:posOffset>190500</wp:posOffset>
              </wp:positionV>
              <wp:extent cx="7560310" cy="273050"/>
              <wp:effectExtent l="0" t="0" r="0" b="12700"/>
              <wp:wrapNone/>
              <wp:docPr id="3" name="MSIPCM16d14d11a2b61f2f2611bb1b"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40421B" w14:textId="5FDE7075" w:rsidR="009638CC" w:rsidRPr="009638CC" w:rsidRDefault="009638CC" w:rsidP="009638CC">
                          <w:pPr>
                            <w:spacing w:before="0" w:after="0"/>
                            <w:jc w:val="right"/>
                            <w:rPr>
                              <w:rFonts w:ascii="Calibri" w:hAnsi="Calibri" w:cs="Calibri"/>
                              <w:color w:val="FF8C00"/>
                              <w:sz w:val="20"/>
                            </w:rPr>
                          </w:pPr>
                          <w:r w:rsidRPr="009638CC">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4DCE2B5" id="_x0000_t202" coordsize="21600,21600" o:spt="202" path="m,l,21600r21600,l21600,xe">
              <v:stroke joinstyle="miter"/>
              <v:path gradientshapeok="t" o:connecttype="rect"/>
            </v:shapetype>
            <v:shape id="MSIPCM16d14d11a2b61f2f2611bb1b" o:spid="_x0000_s1026" type="#_x0000_t202" alt="{&quot;HashCode&quot;:-2130211288,&quot;Height&quot;:841.0,&quot;Width&quot;:595.0,&quot;Placement&quot;:&quot;Header&quot;,&quot;Index&quot;:&quot;Primary&quot;,&quot;Section&quot;:1,&quot;Top&quot;:0.0,&quot;Left&quot;:0.0}"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4340421B" w14:textId="5FDE7075" w:rsidR="009638CC" w:rsidRPr="009638CC" w:rsidRDefault="009638CC" w:rsidP="009638CC">
                    <w:pPr>
                      <w:spacing w:before="0" w:after="0"/>
                      <w:jc w:val="right"/>
                      <w:rPr>
                        <w:rFonts w:ascii="Calibri" w:hAnsi="Calibri" w:cs="Calibri"/>
                        <w:color w:val="FF8C00"/>
                        <w:sz w:val="20"/>
                      </w:rPr>
                    </w:pPr>
                    <w:r w:rsidRPr="009638CC">
                      <w:rPr>
                        <w:rFonts w:ascii="Calibri" w:hAnsi="Calibri" w:cs="Calibri"/>
                        <w:color w:val="FF8C00"/>
                        <w:sz w:val="20"/>
                      </w:rPr>
                      <w:t>Information Classification: CONTROLLED</w:t>
                    </w:r>
                  </w:p>
                </w:txbxContent>
              </v:textbox>
              <w10:wrap anchorx="page" anchory="page"/>
            </v:shape>
          </w:pict>
        </mc:Fallback>
      </mc:AlternateContent>
    </w:r>
    <w:r w:rsidR="0063023E" w:rsidRPr="008F1845">
      <w:rPr>
        <w:noProof/>
        <w:sz w:val="32"/>
        <w:szCs w:val="36"/>
      </w:rPr>
      <w:drawing>
        <wp:anchor distT="0" distB="0" distL="114300" distR="114300" simplePos="0" relativeHeight="251658240" behindDoc="0" locked="0" layoutInCell="1" allowOverlap="0" wp14:anchorId="36AFEB24" wp14:editId="1B143682">
          <wp:simplePos x="0" y="0"/>
          <wp:positionH relativeFrom="column">
            <wp:posOffset>6181725</wp:posOffset>
          </wp:positionH>
          <wp:positionV relativeFrom="paragraph">
            <wp:posOffset>-543560</wp:posOffset>
          </wp:positionV>
          <wp:extent cx="882650" cy="882650"/>
          <wp:effectExtent l="0" t="0" r="0" b="0"/>
          <wp:wrapSquare wrapText="bothSides"/>
          <wp:docPr id="1" name="Picture 2" descr="CC logo 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logo 7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pic:spPr>
              </pic:pic>
            </a:graphicData>
          </a:graphic>
          <wp14:sizeRelH relativeFrom="page">
            <wp14:pctWidth>0</wp14:pctWidth>
          </wp14:sizeRelH>
          <wp14:sizeRelV relativeFrom="page">
            <wp14:pctHeight>0</wp14:pctHeight>
          </wp14:sizeRelV>
        </wp:anchor>
      </w:drawing>
    </w:r>
    <w:r w:rsidR="008F1845">
      <w:rPr>
        <w:sz w:val="32"/>
        <w:szCs w:val="36"/>
      </w:rPr>
      <w:t xml:space="preserve">SEND </w:t>
    </w:r>
    <w:r w:rsidR="008F1845" w:rsidRPr="008F1845">
      <w:rPr>
        <w:sz w:val="32"/>
        <w:szCs w:val="36"/>
      </w:rPr>
      <w:t>Centres Of Excellence</w:t>
    </w:r>
    <w:r w:rsidR="0063023E" w:rsidRPr="0063023E">
      <w:rPr>
        <w:sz w:val="32"/>
        <w:szCs w:val="36"/>
      </w:rPr>
      <w:t xml:space="preserve"> Highlight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51C46"/>
    <w:multiLevelType w:val="multilevel"/>
    <w:tmpl w:val="C74A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54F6B"/>
    <w:multiLevelType w:val="multilevel"/>
    <w:tmpl w:val="15DE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57960"/>
    <w:multiLevelType w:val="multilevel"/>
    <w:tmpl w:val="6CFE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C7218"/>
    <w:multiLevelType w:val="hybridMultilevel"/>
    <w:tmpl w:val="B10231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0A226B7"/>
    <w:multiLevelType w:val="multilevel"/>
    <w:tmpl w:val="FB78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E3325"/>
    <w:multiLevelType w:val="multilevel"/>
    <w:tmpl w:val="C5BA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D92DD8"/>
    <w:multiLevelType w:val="multilevel"/>
    <w:tmpl w:val="F996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5306E"/>
    <w:multiLevelType w:val="multilevel"/>
    <w:tmpl w:val="3864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637B0E"/>
    <w:multiLevelType w:val="multilevel"/>
    <w:tmpl w:val="361E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F913D4"/>
    <w:multiLevelType w:val="multilevel"/>
    <w:tmpl w:val="A08E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278B5"/>
    <w:multiLevelType w:val="multilevel"/>
    <w:tmpl w:val="0824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150795"/>
    <w:multiLevelType w:val="multilevel"/>
    <w:tmpl w:val="12E6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6979D2"/>
    <w:multiLevelType w:val="multilevel"/>
    <w:tmpl w:val="9CB8D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535D01"/>
    <w:multiLevelType w:val="multilevel"/>
    <w:tmpl w:val="7C3A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3355169">
    <w:abstractNumId w:val="3"/>
  </w:num>
  <w:num w:numId="2" w16cid:durableId="2115437694">
    <w:abstractNumId w:val="12"/>
  </w:num>
  <w:num w:numId="3" w16cid:durableId="297875835">
    <w:abstractNumId w:val="7"/>
  </w:num>
  <w:num w:numId="4" w16cid:durableId="554976645">
    <w:abstractNumId w:val="10"/>
  </w:num>
  <w:num w:numId="5" w16cid:durableId="1896547075">
    <w:abstractNumId w:val="5"/>
  </w:num>
  <w:num w:numId="6" w16cid:durableId="666788390">
    <w:abstractNumId w:val="6"/>
  </w:num>
  <w:num w:numId="7" w16cid:durableId="420031472">
    <w:abstractNumId w:val="1"/>
  </w:num>
  <w:num w:numId="8" w16cid:durableId="1894543241">
    <w:abstractNumId w:val="8"/>
  </w:num>
  <w:num w:numId="9" w16cid:durableId="1323512635">
    <w:abstractNumId w:val="4"/>
  </w:num>
  <w:num w:numId="10" w16cid:durableId="1324161774">
    <w:abstractNumId w:val="0"/>
  </w:num>
  <w:num w:numId="11" w16cid:durableId="1414165397">
    <w:abstractNumId w:val="9"/>
  </w:num>
  <w:num w:numId="12" w16cid:durableId="453645897">
    <w:abstractNumId w:val="13"/>
  </w:num>
  <w:num w:numId="13" w16cid:durableId="1604218122">
    <w:abstractNumId w:val="2"/>
  </w:num>
  <w:num w:numId="14" w16cid:durableId="11290150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325"/>
    <w:rsid w:val="00002FD1"/>
    <w:rsid w:val="00024B26"/>
    <w:rsid w:val="0002621D"/>
    <w:rsid w:val="0005295E"/>
    <w:rsid w:val="000612A4"/>
    <w:rsid w:val="00082E34"/>
    <w:rsid w:val="00094636"/>
    <w:rsid w:val="000A0908"/>
    <w:rsid w:val="000A0F7F"/>
    <w:rsid w:val="000D609E"/>
    <w:rsid w:val="0010051A"/>
    <w:rsid w:val="0010067F"/>
    <w:rsid w:val="00100E90"/>
    <w:rsid w:val="001375ED"/>
    <w:rsid w:val="00146B23"/>
    <w:rsid w:val="0015502A"/>
    <w:rsid w:val="001552B2"/>
    <w:rsid w:val="00166D28"/>
    <w:rsid w:val="00182A8B"/>
    <w:rsid w:val="001D46D9"/>
    <w:rsid w:val="001E3F27"/>
    <w:rsid w:val="001E7EB1"/>
    <w:rsid w:val="00202964"/>
    <w:rsid w:val="0021023F"/>
    <w:rsid w:val="00221730"/>
    <w:rsid w:val="00233717"/>
    <w:rsid w:val="00234347"/>
    <w:rsid w:val="00237077"/>
    <w:rsid w:val="00285340"/>
    <w:rsid w:val="002A7237"/>
    <w:rsid w:val="002C59E4"/>
    <w:rsid w:val="002D5680"/>
    <w:rsid w:val="003237A1"/>
    <w:rsid w:val="003831E5"/>
    <w:rsid w:val="00457E84"/>
    <w:rsid w:val="0047077E"/>
    <w:rsid w:val="00516453"/>
    <w:rsid w:val="0052765F"/>
    <w:rsid w:val="005648E1"/>
    <w:rsid w:val="00590F62"/>
    <w:rsid w:val="005D6DB4"/>
    <w:rsid w:val="006118AA"/>
    <w:rsid w:val="0063023E"/>
    <w:rsid w:val="006353D8"/>
    <w:rsid w:val="00644CEE"/>
    <w:rsid w:val="006469C9"/>
    <w:rsid w:val="0065343D"/>
    <w:rsid w:val="0065695C"/>
    <w:rsid w:val="00657A22"/>
    <w:rsid w:val="0066145E"/>
    <w:rsid w:val="00661941"/>
    <w:rsid w:val="00684EF1"/>
    <w:rsid w:val="006A44B1"/>
    <w:rsid w:val="006C459B"/>
    <w:rsid w:val="006C7862"/>
    <w:rsid w:val="006F1CBB"/>
    <w:rsid w:val="00716B23"/>
    <w:rsid w:val="00757DA2"/>
    <w:rsid w:val="00760787"/>
    <w:rsid w:val="007964FE"/>
    <w:rsid w:val="007A196B"/>
    <w:rsid w:val="007E4F04"/>
    <w:rsid w:val="00823B40"/>
    <w:rsid w:val="0084393E"/>
    <w:rsid w:val="008446F9"/>
    <w:rsid w:val="0085489A"/>
    <w:rsid w:val="00860435"/>
    <w:rsid w:val="0088705C"/>
    <w:rsid w:val="008C45AD"/>
    <w:rsid w:val="008C5706"/>
    <w:rsid w:val="008E6336"/>
    <w:rsid w:val="008F1845"/>
    <w:rsid w:val="00903922"/>
    <w:rsid w:val="00905B60"/>
    <w:rsid w:val="009439C1"/>
    <w:rsid w:val="00943C7E"/>
    <w:rsid w:val="009638CC"/>
    <w:rsid w:val="00964E83"/>
    <w:rsid w:val="00973ACE"/>
    <w:rsid w:val="009776AD"/>
    <w:rsid w:val="009B658B"/>
    <w:rsid w:val="009E4F05"/>
    <w:rsid w:val="00A026CE"/>
    <w:rsid w:val="00A11BFB"/>
    <w:rsid w:val="00A15CD6"/>
    <w:rsid w:val="00A24093"/>
    <w:rsid w:val="00A51B03"/>
    <w:rsid w:val="00A521EC"/>
    <w:rsid w:val="00A53A4D"/>
    <w:rsid w:val="00A663A2"/>
    <w:rsid w:val="00AE4CEC"/>
    <w:rsid w:val="00B20181"/>
    <w:rsid w:val="00B2266A"/>
    <w:rsid w:val="00B277A8"/>
    <w:rsid w:val="00B32A9A"/>
    <w:rsid w:val="00B45B36"/>
    <w:rsid w:val="00B86803"/>
    <w:rsid w:val="00BC6F55"/>
    <w:rsid w:val="00C0003D"/>
    <w:rsid w:val="00C14FC2"/>
    <w:rsid w:val="00CA1DBD"/>
    <w:rsid w:val="00CA6473"/>
    <w:rsid w:val="00CD1C1C"/>
    <w:rsid w:val="00CE64B8"/>
    <w:rsid w:val="00CE7453"/>
    <w:rsid w:val="00D07122"/>
    <w:rsid w:val="00D17D1E"/>
    <w:rsid w:val="00D22A72"/>
    <w:rsid w:val="00D24AC3"/>
    <w:rsid w:val="00D24B96"/>
    <w:rsid w:val="00D30576"/>
    <w:rsid w:val="00D46F24"/>
    <w:rsid w:val="00D56329"/>
    <w:rsid w:val="00D7329C"/>
    <w:rsid w:val="00D73362"/>
    <w:rsid w:val="00DB4D11"/>
    <w:rsid w:val="00DF2D7A"/>
    <w:rsid w:val="00E25DBB"/>
    <w:rsid w:val="00E34C88"/>
    <w:rsid w:val="00E3717B"/>
    <w:rsid w:val="00E54325"/>
    <w:rsid w:val="00E85E19"/>
    <w:rsid w:val="00E86497"/>
    <w:rsid w:val="00F30C72"/>
    <w:rsid w:val="00F368DB"/>
    <w:rsid w:val="00F52771"/>
    <w:rsid w:val="00F558A8"/>
    <w:rsid w:val="00F763DD"/>
    <w:rsid w:val="00F7704D"/>
    <w:rsid w:val="00F814F3"/>
    <w:rsid w:val="00F91FFF"/>
    <w:rsid w:val="00FC0BCD"/>
    <w:rsid w:val="00FC51F6"/>
    <w:rsid w:val="00FE4F51"/>
    <w:rsid w:val="1928987A"/>
    <w:rsid w:val="19960335"/>
    <w:rsid w:val="212A1AFA"/>
    <w:rsid w:val="5C11D97D"/>
    <w:rsid w:val="6CF66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084E3"/>
  <w15:chartTrackingRefBased/>
  <w15:docId w15:val="{AB826B2C-0F92-4EC2-AA05-A7B02663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95C"/>
    <w:pPr>
      <w:spacing w:before="40" w:after="40" w:line="240" w:lineRule="auto"/>
    </w:pPr>
    <w:rPr>
      <w:rFonts w:ascii="Verdana" w:eastAsia="Times New Roman" w:hAnsi="Verdana"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5695C"/>
    <w:pPr>
      <w:tabs>
        <w:tab w:val="center" w:pos="4153"/>
        <w:tab w:val="right" w:pos="8306"/>
      </w:tabs>
    </w:pPr>
  </w:style>
  <w:style w:type="character" w:customStyle="1" w:styleId="HeaderChar">
    <w:name w:val="Header Char"/>
    <w:basedOn w:val="DefaultParagraphFont"/>
    <w:link w:val="Header"/>
    <w:rsid w:val="0065695C"/>
    <w:rPr>
      <w:rFonts w:ascii="Verdana" w:eastAsia="Times New Roman" w:hAnsi="Verdana" w:cs="Times New Roman"/>
      <w:sz w:val="18"/>
      <w:szCs w:val="20"/>
    </w:rPr>
  </w:style>
  <w:style w:type="paragraph" w:customStyle="1" w:styleId="04TCCCTableCentresubhead">
    <w:name w:val="04TC CC Table Centre subhead"/>
    <w:basedOn w:val="Normal"/>
    <w:autoRedefine/>
    <w:rsid w:val="00D07122"/>
    <w:pPr>
      <w:suppressAutoHyphens/>
      <w:ind w:right="-114"/>
      <w:jc w:val="center"/>
    </w:pPr>
    <w:rPr>
      <w:b/>
      <w:szCs w:val="18"/>
    </w:rPr>
  </w:style>
  <w:style w:type="paragraph" w:styleId="Footer">
    <w:name w:val="footer"/>
    <w:basedOn w:val="Normal"/>
    <w:link w:val="FooterChar"/>
    <w:uiPriority w:val="99"/>
    <w:unhideWhenUsed/>
    <w:rsid w:val="0063023E"/>
    <w:pPr>
      <w:tabs>
        <w:tab w:val="center" w:pos="4513"/>
        <w:tab w:val="right" w:pos="9026"/>
      </w:tabs>
      <w:spacing w:before="0" w:after="0"/>
    </w:pPr>
  </w:style>
  <w:style w:type="character" w:customStyle="1" w:styleId="FooterChar">
    <w:name w:val="Footer Char"/>
    <w:basedOn w:val="DefaultParagraphFont"/>
    <w:link w:val="Footer"/>
    <w:uiPriority w:val="99"/>
    <w:rsid w:val="0063023E"/>
    <w:rPr>
      <w:rFonts w:ascii="Verdana" w:eastAsia="Times New Roman" w:hAnsi="Verdana" w:cs="Times New Roman"/>
      <w:sz w:val="18"/>
      <w:szCs w:val="20"/>
    </w:rPr>
  </w:style>
  <w:style w:type="character" w:styleId="Hyperlink">
    <w:name w:val="Hyperlink"/>
    <w:basedOn w:val="DefaultParagraphFont"/>
    <w:uiPriority w:val="99"/>
    <w:unhideWhenUsed/>
    <w:rsid w:val="00657A22"/>
    <w:rPr>
      <w:strike w:val="0"/>
      <w:dstrike w:val="0"/>
      <w:color w:val="464FEB"/>
      <w:u w:val="none"/>
      <w:effect w:val="none"/>
    </w:rPr>
  </w:style>
  <w:style w:type="paragraph" w:styleId="NormalWeb">
    <w:name w:val="Normal (Web)"/>
    <w:basedOn w:val="Normal"/>
    <w:uiPriority w:val="99"/>
    <w:semiHidden/>
    <w:unhideWhenUsed/>
    <w:rsid w:val="00657A22"/>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657A22"/>
    <w:rPr>
      <w:b/>
      <w:bCs/>
    </w:rPr>
  </w:style>
  <w:style w:type="character" w:styleId="UnresolvedMention">
    <w:name w:val="Unresolved Mention"/>
    <w:basedOn w:val="DefaultParagraphFont"/>
    <w:uiPriority w:val="99"/>
    <w:semiHidden/>
    <w:unhideWhenUsed/>
    <w:rsid w:val="00977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aniels@celtrus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banks@kernowlearning.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aniels@celtrust.org" TargetMode="External"/><Relationship Id="rId5" Type="http://schemas.openxmlformats.org/officeDocument/2006/relationships/styles" Target="styles.xml"/><Relationship Id="rId15" Type="http://schemas.openxmlformats.org/officeDocument/2006/relationships/hyperlink" Target="mailto:gchappell@specialpartnership.org" TargetMode="External"/><Relationship Id="rId10" Type="http://schemas.openxmlformats.org/officeDocument/2006/relationships/hyperlink" Target="mailto:rachel.delourme@cornwall.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achel.delourme@cornwall.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a34766-db8d-4423-8695-2ae769a09fc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0E717FC304BF4AA94477442FA157B1" ma:contentTypeVersion="9" ma:contentTypeDescription="Create a new document." ma:contentTypeScope="" ma:versionID="89e00da046359cb1f2f5fe3c97807009">
  <xsd:schema xmlns:xsd="http://www.w3.org/2001/XMLSchema" xmlns:xs="http://www.w3.org/2001/XMLSchema" xmlns:p="http://schemas.microsoft.com/office/2006/metadata/properties" xmlns:ns2="78a34766-db8d-4423-8695-2ae769a09fc4" targetNamespace="http://schemas.microsoft.com/office/2006/metadata/properties" ma:root="true" ma:fieldsID="592a801b0eaf350de6c634eb22fb0feb" ns2:_="">
    <xsd:import namespace="78a34766-db8d-4423-8695-2ae769a09f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34766-db8d-4423-8695-2ae769a09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F31C7-109D-4D6C-811E-A81ECC9F6B9E}">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8a34766-db8d-4423-8695-2ae769a09fc4"/>
    <ds:schemaRef ds:uri="http://www.w3.org/XML/1998/namespace"/>
  </ds:schemaRefs>
</ds:datastoreItem>
</file>

<file path=customXml/itemProps2.xml><?xml version="1.0" encoding="utf-8"?>
<ds:datastoreItem xmlns:ds="http://schemas.openxmlformats.org/officeDocument/2006/customXml" ds:itemID="{EE4FCD25-D554-4CAB-BB0C-7E2A924CA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34766-db8d-4423-8695-2ae769a09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58FA1A-C254-49EC-93A9-89E88D795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6504</Characters>
  <Application>Microsoft Office Word</Application>
  <DocSecurity>0</DocSecurity>
  <Lines>54</Lines>
  <Paragraphs>15</Paragraphs>
  <ScaleCrop>false</ScaleCrop>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Davies (Project Manager)</dc:creator>
  <cp:keywords/>
  <dc:description/>
  <cp:lastModifiedBy>James Davies (Project Manager)</cp:lastModifiedBy>
  <cp:revision>2</cp:revision>
  <dcterms:created xsi:type="dcterms:W3CDTF">2026-05-01T08:05:00Z</dcterms:created>
  <dcterms:modified xsi:type="dcterms:W3CDTF">2026-05-01T08:05:00Z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0x010100880E717FC304BF4AA94477442FA157B1</vt:lpwstr>
  </property>
  <property fmtid="{D5CDD505-2E9C-101B-9397-08002B2CF9AE}" pid="3" name="MSIP_Label_65bade86-969a-4cfc-8d70-99d1f0adeaba_Enabled">
    <vt:lpwstr>true</vt:lpwstr>
  </property>
  <property fmtid="{D5CDD505-2E9C-101B-9397-08002B2CF9AE}" pid="4" name="MSIP_Label_65bade86-969a-4cfc-8d70-99d1f0adeaba_SetDate">
    <vt:lpwstr>2023-06-08T13:59:31Z</vt:lpwstr>
  </property>
  <property fmtid="{D5CDD505-2E9C-101B-9397-08002B2CF9AE}" pid="5" name="MSIP_Label_65bade86-969a-4cfc-8d70-99d1f0adeaba_Method">
    <vt:lpwstr>Privileged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68bafd91-1e4f-4f34-883e-30aae0045a9a</vt:lpwstr>
  </property>
  <property fmtid="{D5CDD505-2E9C-101B-9397-08002B2CF9AE}" pid="9" name="MSIP_Label_65bade86-969a-4cfc-8d70-99d1f0adeaba_ContentBits">
    <vt:lpwstr>1</vt:lpwstr>
  </property>
  <property fmtid="{D5CDD505-2E9C-101B-9397-08002B2CF9AE}" pid="10" name="MediaServiceImageTags">
    <vt:lpwstr/>
  </property>
  <property fmtid="{D5CDD505-2E9C-101B-9397-08002B2CF9AE}" pid="11" name="docLang">
    <vt:lpwstr>en</vt:lpwstr>
  </property>
</Properties>
</file>