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CC99FF" w:fill="99CCFF"/>
        <w:tblLook w:val="00A0" w:firstRow="1" w:lastRow="0" w:firstColumn="1" w:lastColumn="0" w:noHBand="0" w:noVBand="0"/>
      </w:tblPr>
      <w:tblGrid>
        <w:gridCol w:w="2127"/>
        <w:gridCol w:w="3402"/>
        <w:gridCol w:w="2268"/>
        <w:gridCol w:w="2693"/>
      </w:tblGrid>
      <w:tr w:rsidR="00237077" w:rsidRPr="0015099A" w14:paraId="5BA0DA1A" w14:textId="77777777" w:rsidTr="00904A03">
        <w:tc>
          <w:tcPr>
            <w:tcW w:w="10490" w:type="dxa"/>
            <w:gridSpan w:val="4"/>
            <w:tcBorders>
              <w:bottom w:val="single" w:sz="4" w:space="0" w:color="808080"/>
            </w:tcBorders>
            <w:shd w:val="clear" w:color="auto" w:fill="95B3D7" w:themeFill="accent1" w:themeFillTint="99"/>
          </w:tcPr>
          <w:p w14:paraId="698CDA55" w14:textId="14F2A7EC" w:rsidR="00237077" w:rsidRPr="0015099A" w:rsidRDefault="00237077" w:rsidP="00D07122">
            <w:pPr>
              <w:pStyle w:val="04TCCCTableCentresubhead"/>
            </w:pPr>
            <w:bookmarkStart w:id="0" w:name="_GoBack"/>
            <w:bookmarkEnd w:id="0"/>
            <w:r w:rsidRPr="0015099A">
              <w:t xml:space="preserve">General </w:t>
            </w:r>
            <w:r>
              <w:t>Workstream</w:t>
            </w:r>
            <w:r w:rsidRPr="0015099A">
              <w:t xml:space="preserve"> Information</w:t>
            </w:r>
          </w:p>
        </w:tc>
      </w:tr>
      <w:tr w:rsidR="00237077" w:rsidRPr="0015099A" w14:paraId="065989A5" w14:textId="77777777" w:rsidTr="00904A03">
        <w:tc>
          <w:tcPr>
            <w:tcW w:w="2127" w:type="dxa"/>
            <w:shd w:val="clear" w:color="auto" w:fill="95B3D7" w:themeFill="accent1" w:themeFillTint="99"/>
          </w:tcPr>
          <w:p w14:paraId="44DBEE83" w14:textId="527B0DA8" w:rsidR="00237077" w:rsidRPr="0015099A" w:rsidRDefault="00BC6F55" w:rsidP="00904A03">
            <w:pPr>
              <w:rPr>
                <w:b/>
              </w:rPr>
            </w:pPr>
            <w:r>
              <w:rPr>
                <w:b/>
              </w:rPr>
              <w:t xml:space="preserve">WS </w:t>
            </w:r>
            <w:r w:rsidR="00237077">
              <w:rPr>
                <w:b/>
              </w:rPr>
              <w:t>Lead</w:t>
            </w:r>
            <w:r w:rsidR="0063023E">
              <w:rPr>
                <w:b/>
              </w:rPr>
              <w:t>(s)</w:t>
            </w:r>
          </w:p>
        </w:tc>
        <w:tc>
          <w:tcPr>
            <w:tcW w:w="3402" w:type="dxa"/>
            <w:shd w:val="clear" w:color="CC99FF" w:fill="FFFFFF"/>
          </w:tcPr>
          <w:p w14:paraId="4459F3FA" w14:textId="3DA0AFA6" w:rsidR="00237077" w:rsidRPr="004E3235" w:rsidRDefault="00943C7E" w:rsidP="00904A03">
            <w:r>
              <w:t>Various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49F1963C" w14:textId="77777777" w:rsidR="00237077" w:rsidRPr="0015099A" w:rsidRDefault="00237077" w:rsidP="00904A03">
            <w:pPr>
              <w:rPr>
                <w:b/>
              </w:rPr>
            </w:pPr>
            <w:r>
              <w:rPr>
                <w:b/>
              </w:rPr>
              <w:t>Reporting P</w:t>
            </w:r>
            <w:r w:rsidRPr="00656A80">
              <w:rPr>
                <w:b/>
              </w:rPr>
              <w:t>eriod:</w:t>
            </w:r>
          </w:p>
        </w:tc>
        <w:tc>
          <w:tcPr>
            <w:tcW w:w="2693" w:type="dxa"/>
            <w:shd w:val="clear" w:color="CC99FF" w:fill="FFFFFF"/>
          </w:tcPr>
          <w:p w14:paraId="541D6286" w14:textId="7537CF27" w:rsidR="00237077" w:rsidRPr="004E3235" w:rsidRDefault="00A11BFB" w:rsidP="00904A03">
            <w:r>
              <w:t>22/04</w:t>
            </w:r>
            <w:r w:rsidR="003C193B">
              <w:t xml:space="preserve"> – 30/6</w:t>
            </w:r>
          </w:p>
        </w:tc>
      </w:tr>
      <w:tr w:rsidR="00237077" w:rsidRPr="0015099A" w14:paraId="4BE4EFBB" w14:textId="77777777" w:rsidTr="00904A03">
        <w:tc>
          <w:tcPr>
            <w:tcW w:w="2127" w:type="dxa"/>
            <w:shd w:val="clear" w:color="auto" w:fill="95B3D7" w:themeFill="accent1" w:themeFillTint="99"/>
          </w:tcPr>
          <w:p w14:paraId="3402460D" w14:textId="551D8D40" w:rsidR="00237077" w:rsidRPr="0015099A" w:rsidRDefault="007964FE" w:rsidP="00904A03">
            <w:pPr>
              <w:rPr>
                <w:b/>
              </w:rPr>
            </w:pPr>
            <w:r w:rsidRPr="007964FE">
              <w:rPr>
                <w:b/>
              </w:rPr>
              <w:t>Responsible Person</w:t>
            </w:r>
            <w:r w:rsidR="00237077">
              <w:rPr>
                <w:b/>
              </w:rPr>
              <w:t>:</w:t>
            </w:r>
          </w:p>
        </w:tc>
        <w:tc>
          <w:tcPr>
            <w:tcW w:w="3402" w:type="dxa"/>
            <w:shd w:val="clear" w:color="CC99FF" w:fill="FFFFFF"/>
          </w:tcPr>
          <w:p w14:paraId="564622A9" w14:textId="64B84639" w:rsidR="00237077" w:rsidRPr="004E3235" w:rsidRDefault="0063023E" w:rsidP="00904A03">
            <w:r>
              <w:t>Rachel Delo</w:t>
            </w:r>
            <w:r w:rsidR="007964FE">
              <w:t>u</w:t>
            </w:r>
            <w:r>
              <w:t>rme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5BAC813D" w14:textId="77777777" w:rsidR="00237077" w:rsidRPr="0015099A" w:rsidRDefault="00237077" w:rsidP="00904A03">
            <w:pPr>
              <w:rPr>
                <w:b/>
              </w:rPr>
            </w:pPr>
            <w:r w:rsidRPr="0015099A">
              <w:rPr>
                <w:b/>
              </w:rPr>
              <w:t>Date</w:t>
            </w:r>
            <w:r>
              <w:rPr>
                <w:b/>
              </w:rPr>
              <w:t xml:space="preserve"> Written</w:t>
            </w:r>
            <w:r w:rsidRPr="0015099A">
              <w:rPr>
                <w:b/>
              </w:rPr>
              <w:t>:</w:t>
            </w:r>
          </w:p>
        </w:tc>
        <w:tc>
          <w:tcPr>
            <w:tcW w:w="2693" w:type="dxa"/>
            <w:shd w:val="clear" w:color="CC99FF" w:fill="FFFFFF"/>
          </w:tcPr>
          <w:p w14:paraId="03E6E4D2" w14:textId="5DAA99CC" w:rsidR="00A11BFB" w:rsidRPr="004E3235" w:rsidRDefault="003C193B" w:rsidP="00904A03">
            <w:r>
              <w:t>1/7</w:t>
            </w:r>
          </w:p>
        </w:tc>
      </w:tr>
      <w:tr w:rsidR="00237077" w:rsidRPr="00D04FE0" w14:paraId="61F27F4B" w14:textId="77777777" w:rsidTr="00904A03">
        <w:tc>
          <w:tcPr>
            <w:tcW w:w="2127" w:type="dxa"/>
            <w:shd w:val="clear" w:color="auto" w:fill="95B3D7" w:themeFill="accent1" w:themeFillTint="99"/>
          </w:tcPr>
          <w:p w14:paraId="28CDAF8D" w14:textId="1B6FA18C" w:rsidR="00237077" w:rsidRPr="0015099A" w:rsidRDefault="006F1CBB" w:rsidP="00904A03">
            <w:pPr>
              <w:rPr>
                <w:b/>
              </w:rPr>
            </w:pPr>
            <w:r>
              <w:rPr>
                <w:b/>
              </w:rPr>
              <w:t>Written by:</w:t>
            </w:r>
          </w:p>
        </w:tc>
        <w:tc>
          <w:tcPr>
            <w:tcW w:w="3402" w:type="dxa"/>
            <w:shd w:val="clear" w:color="CC99FF" w:fill="FFFFFF"/>
          </w:tcPr>
          <w:p w14:paraId="75D48D29" w14:textId="766A8F5D" w:rsidR="00237077" w:rsidRPr="004E3235" w:rsidRDefault="00943C7E" w:rsidP="00904A03">
            <w:r>
              <w:t>RD/JD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76384F09" w14:textId="10157CC4" w:rsidR="00237077" w:rsidRPr="00153652" w:rsidRDefault="00237077" w:rsidP="00904A03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CC99FF" w:fill="FFFFFF"/>
          </w:tcPr>
          <w:p w14:paraId="693CF0E5" w14:textId="77777777" w:rsidR="00237077" w:rsidRPr="004E3235" w:rsidRDefault="00237077" w:rsidP="00904A03"/>
        </w:tc>
      </w:tr>
    </w:tbl>
    <w:p w14:paraId="62FF4144" w14:textId="77777777" w:rsidR="00DF2D7A" w:rsidRPr="00BC6F55" w:rsidRDefault="00DF2D7A">
      <w:pPr>
        <w:rPr>
          <w:sz w:val="6"/>
          <w:szCs w:val="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497"/>
      </w:tblGrid>
      <w:tr w:rsidR="00FC0BCD" w:rsidRPr="006D5198" w14:paraId="247C20FE" w14:textId="77777777" w:rsidTr="19960335"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5B3D7" w:themeFill="accent1" w:themeFillTint="99"/>
            <w:vAlign w:val="center"/>
            <w:hideMark/>
          </w:tcPr>
          <w:p w14:paraId="1485EFD3" w14:textId="77777777" w:rsidR="00FC0BCD" w:rsidRPr="006D5198" w:rsidRDefault="00FC0BCD" w:rsidP="00904A03">
            <w:pPr>
              <w:rPr>
                <w:b/>
              </w:rPr>
            </w:pPr>
            <w:r>
              <w:rPr>
                <w:b/>
              </w:rPr>
              <w:t>Project</w:t>
            </w:r>
            <w:r w:rsidRPr="006D5198">
              <w:rPr>
                <w:b/>
              </w:rPr>
              <w:t xml:space="preserve"> Status</w:t>
            </w:r>
          </w:p>
        </w:tc>
        <w:tc>
          <w:tcPr>
            <w:tcW w:w="94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tbl>
            <w:tblPr>
              <w:tblW w:w="923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615"/>
              <w:gridCol w:w="615"/>
              <w:gridCol w:w="615"/>
              <w:gridCol w:w="615"/>
              <w:gridCol w:w="615"/>
              <w:gridCol w:w="616"/>
              <w:gridCol w:w="616"/>
              <w:gridCol w:w="616"/>
              <w:gridCol w:w="616"/>
              <w:gridCol w:w="615"/>
              <w:gridCol w:w="621"/>
              <w:gridCol w:w="616"/>
              <w:gridCol w:w="616"/>
              <w:gridCol w:w="616"/>
            </w:tblGrid>
            <w:tr w:rsidR="00FC0BCD" w14:paraId="267EC01F" w14:textId="77777777" w:rsidTr="000B3978">
              <w:tc>
                <w:tcPr>
                  <w:tcW w:w="61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A28CC5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FF4C31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1AB97D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4AA109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10D20E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571943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70DF54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347800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EC73B7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1FF38C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CF00F4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6441DE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E3FC874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FF9C5B5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229A1B" w14:textId="77777777" w:rsidR="00FC0BCD" w:rsidRPr="00565FB8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FC0BCD" w14:paraId="1A53EAAF" w14:textId="77777777" w:rsidTr="00FC0BCD">
              <w:tc>
                <w:tcPr>
                  <w:tcW w:w="61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9D3595" w14:textId="220E5652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1D8A8B" w14:textId="2AC25477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58C22D" w14:textId="3649136F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1DFD5B" w14:textId="1122BBC4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8D7111" w14:textId="55DC7CF8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3746F5" w14:textId="1DED1BB5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A9FE2A" w14:textId="13CD398A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8974E" w14:textId="011AADC3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216387" w14:textId="541AD0B4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403DE" w14:textId="670C59A3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61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451C9D" w14:textId="7116EDE3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62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677904" w14:textId="010B3807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29A8151" w14:textId="5A96B64B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5FEBCC" w14:textId="347BD3BC" w:rsidR="00FC0BCD" w:rsidRPr="00E5749F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6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E5D61C" w14:textId="1DABE014" w:rsidR="00FC0BCD" w:rsidRDefault="00F814F3" w:rsidP="00904A03">
                  <w:pPr>
                    <w:ind w:left="-85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M</w:t>
                  </w:r>
                </w:p>
              </w:tc>
            </w:tr>
            <w:tr w:rsidR="00FC0BCD" w14:paraId="12141E11" w14:textId="77777777" w:rsidTr="00FC0BCD">
              <w:tc>
                <w:tcPr>
                  <w:tcW w:w="7389" w:type="dxa"/>
                  <w:gridSpan w:val="1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5EEE61" w14:textId="769A6BAA" w:rsidR="00FC0BCD" w:rsidRPr="00350EAB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  <w:r w:rsidRPr="00350EAB">
                    <w:rPr>
                      <w:rFonts w:eastAsia="Calibri" w:cs="Calibri"/>
                      <w:b/>
                      <w:sz w:val="16"/>
                      <w:szCs w:val="16"/>
                    </w:rPr>
                    <w:t>20</w:t>
                  </w: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2</w:t>
                  </w:r>
                  <w:r w:rsidR="00F814F3">
                    <w:rPr>
                      <w:rFonts w:eastAsia="Calibri" w:cs="Calibri"/>
                      <w:b/>
                      <w:sz w:val="16"/>
                      <w:szCs w:val="16"/>
                    </w:rPr>
                    <w:t>5</w:t>
                  </w: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/</w:t>
                  </w:r>
                  <w:r w:rsidR="00E86497">
                    <w:rPr>
                      <w:rFonts w:eastAsia="Calibri" w:cs="Calibri"/>
                      <w:b/>
                      <w:sz w:val="16"/>
                      <w:szCs w:val="16"/>
                    </w:rPr>
                    <w:t>2</w:t>
                  </w:r>
                  <w:r w:rsidR="00F814F3">
                    <w:rPr>
                      <w:rFonts w:eastAsia="Calibri" w:cs="Calibri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48" w:type="dxa"/>
                  <w:gridSpan w:val="3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EBB88E" w14:textId="68ECC3AB" w:rsidR="00FC0BCD" w:rsidRPr="00350EAB" w:rsidRDefault="00FC0BCD" w:rsidP="00904A03">
                  <w:pPr>
                    <w:ind w:left="-85"/>
                    <w:jc w:val="center"/>
                    <w:rPr>
                      <w:rFonts w:eastAsia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20</w:t>
                  </w:r>
                  <w:r w:rsidR="00E86497">
                    <w:rPr>
                      <w:rFonts w:eastAsia="Calibri" w:cs="Calibri"/>
                      <w:b/>
                      <w:sz w:val="16"/>
                      <w:szCs w:val="16"/>
                    </w:rPr>
                    <w:t>2</w:t>
                  </w:r>
                  <w:r w:rsidR="00F814F3">
                    <w:rPr>
                      <w:rFonts w:eastAsia="Calibri" w:cs="Calibri"/>
                      <w:b/>
                      <w:sz w:val="16"/>
                      <w:szCs w:val="16"/>
                    </w:rPr>
                    <w:t>6</w:t>
                  </w:r>
                  <w:r w:rsidR="00E86497">
                    <w:rPr>
                      <w:rFonts w:eastAsia="Calibri" w:cs="Calibri"/>
                      <w:b/>
                      <w:sz w:val="16"/>
                      <w:szCs w:val="16"/>
                    </w:rPr>
                    <w:t>/2</w:t>
                  </w:r>
                  <w:r w:rsidR="00F814F3">
                    <w:rPr>
                      <w:rFonts w:eastAsia="Calibri" w:cs="Calibri"/>
                      <w:b/>
                      <w:sz w:val="16"/>
                      <w:szCs w:val="16"/>
                    </w:rPr>
                    <w:t>7</w:t>
                  </w:r>
                </w:p>
              </w:tc>
            </w:tr>
          </w:tbl>
          <w:p w14:paraId="28D23D08" w14:textId="77777777" w:rsidR="00FC0BCD" w:rsidRPr="006D5198" w:rsidRDefault="00FC0BCD" w:rsidP="00904A03">
            <w:pPr>
              <w:rPr>
                <w:szCs w:val="18"/>
              </w:rPr>
            </w:pPr>
          </w:p>
        </w:tc>
      </w:tr>
      <w:tr w:rsidR="00FC0BCD" w:rsidRPr="00D04FE0" w14:paraId="67931C65" w14:textId="77777777" w:rsidTr="00E25DB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CC99FF" w:fill="99CCFF"/>
        </w:tblPrEx>
        <w:trPr>
          <w:trHeight w:val="58"/>
        </w:trPr>
        <w:tc>
          <w:tcPr>
            <w:tcW w:w="10490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D335C" w14:textId="43B17687" w:rsidR="00FC0BCD" w:rsidRPr="002B1620" w:rsidRDefault="00094636" w:rsidP="00904A03">
            <w:pPr>
              <w:rPr>
                <w:b/>
                <w:sz w:val="20"/>
              </w:rPr>
            </w:pPr>
            <w:r w:rsidRPr="002B1620">
              <w:rPr>
                <w:b/>
                <w:sz w:val="20"/>
              </w:rPr>
              <w:t xml:space="preserve">This </w:t>
            </w:r>
            <w:proofErr w:type="spellStart"/>
            <w:proofErr w:type="gramStart"/>
            <w:r w:rsidRPr="002B1620">
              <w:rPr>
                <w:b/>
                <w:sz w:val="20"/>
              </w:rPr>
              <w:t>months</w:t>
            </w:r>
            <w:proofErr w:type="spellEnd"/>
            <w:proofErr w:type="gramEnd"/>
            <w:r w:rsidRPr="002B1620">
              <w:rPr>
                <w:b/>
                <w:sz w:val="20"/>
              </w:rPr>
              <w:t xml:space="preserve"> p</w:t>
            </w:r>
            <w:r w:rsidR="00FC0BCD" w:rsidRPr="002B1620">
              <w:rPr>
                <w:b/>
                <w:sz w:val="20"/>
              </w:rPr>
              <w:t xml:space="preserve">rogress Update </w:t>
            </w:r>
            <w:r w:rsidR="000B3978" w:rsidRPr="002B1620">
              <w:rPr>
                <w:b/>
                <w:sz w:val="20"/>
              </w:rPr>
              <w:t>and closure summary (transfer to SEND Reforms)</w:t>
            </w:r>
          </w:p>
          <w:p w14:paraId="046E9414" w14:textId="2CFB6C11" w:rsidR="008237DA" w:rsidRPr="002B1620" w:rsidRDefault="008237DA" w:rsidP="008237DA">
            <w:pPr>
              <w:pStyle w:val="NormalWeb"/>
              <w:spacing w:line="300" w:lineRule="atLeast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 w:rsidRPr="002B1620">
              <w:rPr>
                <w:rStyle w:val="Strong"/>
                <w:rFonts w:ascii="Verdana" w:hAnsi="Verdana" w:cs="Segoe UI"/>
                <w:sz w:val="20"/>
                <w:szCs w:val="20"/>
              </w:rPr>
              <w:t>Closure and Transition</w:t>
            </w:r>
            <w:r w:rsidR="00472428" w:rsidRPr="002B1620">
              <w:rPr>
                <w:rStyle w:val="Strong"/>
                <w:rFonts w:ascii="Verdana" w:hAnsi="Verdana" w:cs="Segoe UI"/>
                <w:sz w:val="20"/>
                <w:szCs w:val="20"/>
              </w:rPr>
              <w:t xml:space="preserve"> - </w:t>
            </w:r>
            <w:r w:rsidRPr="002B1620">
              <w:rPr>
                <w:rFonts w:ascii="Verdana" w:hAnsi="Verdana" w:cs="Segoe UI"/>
                <w:sz w:val="20"/>
                <w:szCs w:val="20"/>
              </w:rPr>
              <w:t>All four workstreams have completed their development phase and will transfer into Local SEND Reform. OAIP and the Inclusion Charter will be progressed as a single delivery approach, with the Charter providing commitments to families and OAIP providing the framework for delivery.</w:t>
            </w:r>
          </w:p>
          <w:p w14:paraId="29AF32CC" w14:textId="7BD026D7" w:rsidR="008237DA" w:rsidRPr="002B1620" w:rsidRDefault="008237DA" w:rsidP="00472428">
            <w:pPr>
              <w:pStyle w:val="NormalWeb"/>
              <w:spacing w:line="30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B1620">
              <w:rPr>
                <w:rStyle w:val="Strong"/>
                <w:rFonts w:ascii="Verdana" w:hAnsi="Verdana"/>
                <w:sz w:val="20"/>
                <w:szCs w:val="20"/>
              </w:rPr>
              <w:t>Recognition</w:t>
            </w:r>
            <w:r w:rsidR="00472428" w:rsidRPr="002B1620">
              <w:rPr>
                <w:rStyle w:val="Strong"/>
                <w:rFonts w:ascii="Verdana" w:hAnsi="Verdana"/>
                <w:sz w:val="20"/>
                <w:szCs w:val="20"/>
              </w:rPr>
              <w:t xml:space="preserve"> - </w:t>
            </w:r>
            <w:r w:rsidRPr="002B1620">
              <w:rPr>
                <w:rFonts w:ascii="Verdana" w:hAnsi="Verdana" w:cs="Segoe UI"/>
                <w:sz w:val="20"/>
                <w:szCs w:val="20"/>
              </w:rPr>
              <w:t xml:space="preserve">Cornwall has been invited to provide keynote presentations at the University of Warwick on its approach to MAT engagement, co-production and system leadership across a highly </w:t>
            </w:r>
            <w:proofErr w:type="spellStart"/>
            <w:r w:rsidRPr="002B1620">
              <w:rPr>
                <w:rFonts w:ascii="Verdana" w:hAnsi="Verdana" w:cs="Segoe UI"/>
                <w:sz w:val="20"/>
                <w:szCs w:val="20"/>
              </w:rPr>
              <w:t>academised</w:t>
            </w:r>
            <w:proofErr w:type="spellEnd"/>
            <w:r w:rsidRPr="002B1620">
              <w:rPr>
                <w:rFonts w:ascii="Verdana" w:hAnsi="Verdana" w:cs="Segoe UI"/>
                <w:sz w:val="20"/>
                <w:szCs w:val="20"/>
              </w:rPr>
              <w:t xml:space="preserve"> school system. This demonstrates external interest in the approach developed through the Centres of Excellence programme</w:t>
            </w:r>
            <w:r w:rsidR="00B303DE">
              <w:rPr>
                <w:rFonts w:ascii="Verdana" w:hAnsi="Verdana" w:cs="Segoe UI"/>
                <w:sz w:val="20"/>
                <w:szCs w:val="20"/>
              </w:rPr>
              <w:t>, thanks to all for contributing to this.</w:t>
            </w:r>
          </w:p>
          <w:p w14:paraId="675926C3" w14:textId="38541701" w:rsidR="00B2266A" w:rsidRPr="002B1620" w:rsidRDefault="00B2266A" w:rsidP="00B2266A">
            <w:pPr>
              <w:pStyle w:val="NormalWeb"/>
              <w:spacing w:line="300" w:lineRule="atLeast"/>
              <w:rPr>
                <w:rFonts w:ascii="Verdana" w:hAnsi="Verdana" w:cs="Segoe UI"/>
                <w:sz w:val="20"/>
                <w:szCs w:val="20"/>
              </w:rPr>
            </w:pPr>
            <w:r w:rsidRPr="002B1620">
              <w:rPr>
                <w:rStyle w:val="Strong"/>
                <w:rFonts w:ascii="Verdana" w:hAnsi="Verdana" w:cs="Segoe UI"/>
                <w:sz w:val="20"/>
                <w:szCs w:val="20"/>
              </w:rPr>
              <w:t>Workstream 1</w:t>
            </w:r>
            <w:r w:rsidR="009B658B" w:rsidRPr="002B1620">
              <w:rPr>
                <w:rStyle w:val="Strong"/>
                <w:rFonts w:ascii="Verdana" w:hAnsi="Verdana" w:cs="Segoe UI"/>
                <w:sz w:val="20"/>
                <w:szCs w:val="20"/>
              </w:rPr>
              <w:t xml:space="preserve"> – Inclusive Charter</w:t>
            </w:r>
            <w:r w:rsidRPr="002B1620">
              <w:rPr>
                <w:rFonts w:ascii="Verdana" w:hAnsi="Verdana" w:cs="Segoe UI"/>
                <w:sz w:val="20"/>
                <w:szCs w:val="20"/>
              </w:rPr>
              <w:t xml:space="preserve"> </w:t>
            </w:r>
            <w:proofErr w:type="gramStart"/>
            <w:r w:rsidR="00A53A4D" w:rsidRPr="002B1620">
              <w:rPr>
                <w:rFonts w:ascii="Verdana" w:hAnsi="Verdana" w:cs="Segoe UI"/>
                <w:sz w:val="20"/>
                <w:szCs w:val="20"/>
              </w:rPr>
              <w:t>The</w:t>
            </w:r>
            <w:proofErr w:type="gramEnd"/>
            <w:r w:rsidR="00A53A4D" w:rsidRPr="002B1620">
              <w:rPr>
                <w:rFonts w:ascii="Verdana" w:hAnsi="Verdana" w:cs="Segoe UI"/>
                <w:sz w:val="20"/>
                <w:szCs w:val="20"/>
              </w:rPr>
              <w:t xml:space="preserve"> Inclusion Charter workstream has largely completed its core conceptual work and is transitioning into </w:t>
            </w:r>
            <w:r w:rsidR="001D1238" w:rsidRPr="002B1620">
              <w:rPr>
                <w:rFonts w:ascii="Verdana" w:hAnsi="Verdana" w:cs="Segoe UI"/>
                <w:sz w:val="20"/>
                <w:szCs w:val="20"/>
              </w:rPr>
              <w:t>O</w:t>
            </w:r>
            <w:r w:rsidR="00C23C03" w:rsidRPr="002B1620">
              <w:rPr>
                <w:rFonts w:ascii="Verdana" w:hAnsi="Verdana" w:cs="Segoe UI"/>
                <w:sz w:val="20"/>
                <w:szCs w:val="20"/>
              </w:rPr>
              <w:t>AIP</w:t>
            </w:r>
            <w:r w:rsidR="00A53A4D" w:rsidRPr="002B1620">
              <w:rPr>
                <w:rFonts w:ascii="Verdana" w:hAnsi="Verdana" w:cs="Segoe UI"/>
                <w:sz w:val="20"/>
                <w:szCs w:val="20"/>
              </w:rPr>
              <w:t xml:space="preserve">. The Charter is clearly positioned as a system wide set of commitments and promises to children, young people and families, distinct from but complementary to Ordinarily Available </w:t>
            </w:r>
            <w:r w:rsidR="00C23C03" w:rsidRPr="002B1620">
              <w:rPr>
                <w:rFonts w:ascii="Verdana" w:hAnsi="Verdana" w:cs="Segoe UI"/>
                <w:sz w:val="20"/>
                <w:szCs w:val="20"/>
              </w:rPr>
              <w:t>Inclusive Practice</w:t>
            </w:r>
            <w:r w:rsidR="00A53A4D" w:rsidRPr="002B1620">
              <w:rPr>
                <w:rFonts w:ascii="Verdana" w:hAnsi="Verdana" w:cs="Segoe UI"/>
                <w:sz w:val="20"/>
                <w:szCs w:val="20"/>
              </w:rPr>
              <w:t xml:space="preserve">. </w:t>
            </w:r>
            <w:r w:rsidR="00724568" w:rsidRPr="002B1620">
              <w:rPr>
                <w:rFonts w:ascii="Verdana" w:hAnsi="Verdana" w:cs="Segoe UI"/>
                <w:sz w:val="20"/>
                <w:szCs w:val="20"/>
              </w:rPr>
              <w:t xml:space="preserve">The Charter will be shared via the OAIP workshops </w:t>
            </w:r>
            <w:r w:rsidR="00FE7C91" w:rsidRPr="002B1620">
              <w:rPr>
                <w:rFonts w:ascii="Verdana" w:hAnsi="Verdana" w:cs="Segoe UI"/>
                <w:sz w:val="20"/>
                <w:szCs w:val="20"/>
              </w:rPr>
              <w:t>through to the summer holiday where if no changes are required it will be published etc</w:t>
            </w:r>
            <w:r w:rsidR="00A53A4D" w:rsidRPr="002B1620">
              <w:rPr>
                <w:rFonts w:ascii="Verdana" w:hAnsi="Verdana" w:cs="Segoe UI"/>
                <w:sz w:val="20"/>
                <w:szCs w:val="20"/>
              </w:rPr>
              <w:t>.</w:t>
            </w:r>
            <w:r w:rsidRPr="002B1620">
              <w:rPr>
                <w:rFonts w:ascii="Verdana" w:hAnsi="Verdana" w:cs="Segoe UI"/>
                <w:sz w:val="20"/>
                <w:szCs w:val="20"/>
              </w:rPr>
              <w:t xml:space="preserve"> </w:t>
            </w:r>
            <w:r w:rsidR="00FE4F51" w:rsidRPr="002B1620">
              <w:rPr>
                <w:rFonts w:ascii="Verdana" w:hAnsi="Verdana" w:cs="Segoe UI"/>
                <w:sz w:val="20"/>
                <w:szCs w:val="20"/>
              </w:rPr>
              <w:t>Leads:</w:t>
            </w:r>
            <w:r w:rsidR="00202964" w:rsidRPr="002B1620">
              <w:rPr>
                <w:rFonts w:ascii="Verdana" w:hAnsi="Verdana" w:cs="Segoe UI"/>
                <w:sz w:val="20"/>
                <w:szCs w:val="20"/>
              </w:rPr>
              <w:t xml:space="preserve"> Rachel Delourme </w:t>
            </w:r>
            <w:r w:rsidR="00FE4F51" w:rsidRPr="002B1620">
              <w:rPr>
                <w:rFonts w:ascii="Verdana" w:hAnsi="Verdana" w:cs="Segoe UI"/>
                <w:sz w:val="20"/>
                <w:szCs w:val="20"/>
              </w:rPr>
              <w:t>&amp; Amy Daniels</w:t>
            </w:r>
            <w:r w:rsidR="009776AD" w:rsidRPr="002B1620">
              <w:rPr>
                <w:rFonts w:ascii="Verdana" w:hAnsi="Verdana" w:cs="Segoe UI"/>
                <w:sz w:val="20"/>
                <w:szCs w:val="20"/>
              </w:rPr>
              <w:t xml:space="preserve"> (</w:t>
            </w:r>
            <w:hyperlink r:id="rId10" w:history="1">
              <w:r w:rsidR="009776AD" w:rsidRPr="002B1620">
                <w:rPr>
                  <w:rStyle w:val="Hyperlink"/>
                  <w:rFonts w:ascii="Verdana" w:hAnsi="Verdana" w:cs="Segoe UI"/>
                  <w:sz w:val="20"/>
                  <w:szCs w:val="20"/>
                </w:rPr>
                <w:t>rachel.delourme@cornwall.gov.uk</w:t>
              </w:r>
            </w:hyperlink>
            <w:r w:rsidR="009776AD" w:rsidRPr="002B1620">
              <w:rPr>
                <w:rFonts w:ascii="Verdana" w:hAnsi="Verdana" w:cs="Segoe UI"/>
                <w:sz w:val="20"/>
                <w:szCs w:val="20"/>
              </w:rPr>
              <w:t xml:space="preserve"> &amp; </w:t>
            </w:r>
            <w:hyperlink r:id="rId11" w:history="1">
              <w:r w:rsidR="00A15CD6" w:rsidRPr="002B1620">
                <w:rPr>
                  <w:rStyle w:val="Hyperlink"/>
                  <w:rFonts w:ascii="Verdana" w:hAnsi="Verdana" w:cs="Segoe UI"/>
                  <w:sz w:val="20"/>
                  <w:szCs w:val="20"/>
                </w:rPr>
                <w:t>adaniels@celtrust.org</w:t>
              </w:r>
            </w:hyperlink>
            <w:r w:rsidR="00A15CD6" w:rsidRPr="002B1620">
              <w:rPr>
                <w:rFonts w:ascii="Verdana" w:hAnsi="Verdana" w:cs="Segoe UI"/>
                <w:sz w:val="20"/>
                <w:szCs w:val="20"/>
              </w:rPr>
              <w:t>)</w:t>
            </w:r>
          </w:p>
          <w:p w14:paraId="2B01360D" w14:textId="02AEBA93" w:rsidR="00B2266A" w:rsidRPr="002B1620" w:rsidRDefault="00B2266A" w:rsidP="00644CEE">
            <w:pPr>
              <w:pStyle w:val="NormalWeb"/>
              <w:rPr>
                <w:rFonts w:ascii="Verdana" w:hAnsi="Verdana" w:cs="Segoe UI"/>
                <w:sz w:val="20"/>
                <w:szCs w:val="20"/>
              </w:rPr>
            </w:pPr>
            <w:r w:rsidRPr="002B1620">
              <w:rPr>
                <w:rStyle w:val="Strong"/>
                <w:rFonts w:ascii="Verdana" w:hAnsi="Verdana" w:cs="Segoe UI"/>
                <w:sz w:val="20"/>
                <w:szCs w:val="20"/>
              </w:rPr>
              <w:t>Workstream 3</w:t>
            </w:r>
            <w:r w:rsidR="00644CEE" w:rsidRPr="002B1620">
              <w:rPr>
                <w:rStyle w:val="Strong"/>
                <w:rFonts w:ascii="Verdana" w:hAnsi="Verdana" w:cs="Segoe UI"/>
                <w:sz w:val="20"/>
                <w:szCs w:val="20"/>
              </w:rPr>
              <w:t xml:space="preserve"> - </w:t>
            </w:r>
            <w:r w:rsidR="00644CEE"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Ordinarily Available </w:t>
            </w:r>
            <w:r w:rsidR="00C23C03"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Inclusive </w:t>
            </w:r>
            <w:r w:rsidR="00644CEE"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>Pr</w:t>
            </w:r>
            <w:r w:rsidR="00C23C03"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>actice</w:t>
            </w:r>
            <w:r w:rsidRPr="002B1620">
              <w:rPr>
                <w:rFonts w:ascii="Verdana" w:hAnsi="Verdana" w:cs="Segoe UI"/>
                <w:sz w:val="20"/>
                <w:szCs w:val="20"/>
              </w:rPr>
              <w:t xml:space="preserve"> </w:t>
            </w:r>
            <w:proofErr w:type="gramStart"/>
            <w:r w:rsidR="00A67487" w:rsidRPr="002B1620">
              <w:rPr>
                <w:rFonts w:ascii="Verdana" w:hAnsi="Verdana" w:cs="Segoe UI"/>
                <w:sz w:val="20"/>
                <w:szCs w:val="20"/>
              </w:rPr>
              <w:t>The</w:t>
            </w:r>
            <w:proofErr w:type="gramEnd"/>
            <w:r w:rsidR="00A67487" w:rsidRPr="002B1620">
              <w:rPr>
                <w:rFonts w:ascii="Verdana" w:hAnsi="Verdana" w:cs="Segoe UI"/>
                <w:sz w:val="20"/>
                <w:szCs w:val="20"/>
              </w:rPr>
              <w:t xml:space="preserve"> OAIP workstream has successfully developed a shared framework for inclusive practice and has been widely socialised through workshops and stakeholder forums</w:t>
            </w:r>
            <w:r w:rsidR="00AD7B5A" w:rsidRPr="002B1620">
              <w:rPr>
                <w:rFonts w:ascii="Verdana" w:hAnsi="Verdana" w:cs="Segoe UI"/>
                <w:sz w:val="20"/>
                <w:szCs w:val="20"/>
              </w:rPr>
              <w:t xml:space="preserve"> which continue through the summer term</w:t>
            </w:r>
            <w:r w:rsidR="00A67487" w:rsidRPr="002B1620">
              <w:rPr>
                <w:rFonts w:ascii="Verdana" w:hAnsi="Verdana" w:cs="Segoe UI"/>
                <w:sz w:val="20"/>
                <w:szCs w:val="20"/>
              </w:rPr>
              <w:t xml:space="preserve">. The work has generated strong engagement across education partners and is now moving from development into implementation </w:t>
            </w:r>
            <w:r w:rsidR="003C24BA" w:rsidRPr="002B1620">
              <w:rPr>
                <w:rFonts w:ascii="Verdana" w:hAnsi="Verdana" w:cs="Segoe UI"/>
                <w:sz w:val="20"/>
                <w:szCs w:val="20"/>
              </w:rPr>
              <w:t>in conjunction with</w:t>
            </w:r>
            <w:r w:rsidR="00A67487" w:rsidRPr="002B1620">
              <w:rPr>
                <w:rFonts w:ascii="Verdana" w:hAnsi="Verdana" w:cs="Segoe UI"/>
                <w:sz w:val="20"/>
                <w:szCs w:val="20"/>
              </w:rPr>
              <w:t xml:space="preserve"> SEND Refor</w:t>
            </w:r>
            <w:r w:rsidR="00AD7B5A" w:rsidRPr="002B1620">
              <w:rPr>
                <w:rFonts w:ascii="Verdana" w:hAnsi="Verdana" w:cs="Segoe UI"/>
                <w:sz w:val="20"/>
                <w:szCs w:val="20"/>
              </w:rPr>
              <w:t xml:space="preserve">ms. </w:t>
            </w:r>
            <w:r w:rsidR="00FE4F51" w:rsidRPr="002B1620">
              <w:rPr>
                <w:rFonts w:ascii="Verdana" w:hAnsi="Verdana" w:cs="Segoe UI"/>
                <w:sz w:val="20"/>
                <w:szCs w:val="20"/>
              </w:rPr>
              <w:t xml:space="preserve">Leads: </w:t>
            </w:r>
            <w:r w:rsidR="009439C1" w:rsidRPr="002B1620">
              <w:rPr>
                <w:rFonts w:ascii="Verdana" w:hAnsi="Verdana" w:cs="Segoe UI"/>
                <w:sz w:val="20"/>
                <w:szCs w:val="20"/>
              </w:rPr>
              <w:t xml:space="preserve">Tanya </w:t>
            </w:r>
            <w:r w:rsidR="00FE4F51" w:rsidRPr="002B1620">
              <w:rPr>
                <w:rFonts w:ascii="Verdana" w:hAnsi="Verdana" w:cs="Segoe UI"/>
                <w:sz w:val="20"/>
                <w:szCs w:val="20"/>
              </w:rPr>
              <w:t xml:space="preserve">Banks </w:t>
            </w:r>
            <w:r w:rsidR="009439C1" w:rsidRPr="002B1620">
              <w:rPr>
                <w:rFonts w:ascii="Verdana" w:hAnsi="Verdana" w:cs="Segoe UI"/>
                <w:sz w:val="20"/>
                <w:szCs w:val="20"/>
              </w:rPr>
              <w:t>&amp;</w:t>
            </w:r>
            <w:r w:rsidR="00FE4F51" w:rsidRPr="002B1620">
              <w:rPr>
                <w:rFonts w:ascii="Verdana" w:hAnsi="Verdana" w:cs="Segoe UI"/>
                <w:sz w:val="20"/>
                <w:szCs w:val="20"/>
              </w:rPr>
              <w:t xml:space="preserve"> Amy Daniels</w:t>
            </w:r>
            <w:r w:rsidR="00E34C88" w:rsidRPr="002B1620">
              <w:rPr>
                <w:rFonts w:ascii="Verdana" w:hAnsi="Verdana" w:cs="Segoe UI"/>
                <w:sz w:val="20"/>
                <w:szCs w:val="20"/>
              </w:rPr>
              <w:t xml:space="preserve"> (</w:t>
            </w:r>
            <w:hyperlink r:id="rId12" w:history="1">
              <w:r w:rsidR="00E34C88" w:rsidRPr="002B1620">
                <w:rPr>
                  <w:rStyle w:val="Hyperlink"/>
                  <w:rFonts w:ascii="Verdana" w:hAnsi="Verdana" w:cs="Segoe UI"/>
                  <w:sz w:val="20"/>
                  <w:szCs w:val="20"/>
                </w:rPr>
                <w:t>tbanks@kernowlearning.co.uk</w:t>
              </w:r>
            </w:hyperlink>
            <w:r w:rsidR="00E34C88" w:rsidRPr="002B1620">
              <w:rPr>
                <w:rFonts w:ascii="Verdana" w:hAnsi="Verdana" w:cs="Segoe UI"/>
                <w:sz w:val="20"/>
                <w:szCs w:val="20"/>
              </w:rPr>
              <w:t xml:space="preserve"> &amp; </w:t>
            </w:r>
            <w:hyperlink r:id="rId13" w:history="1">
              <w:r w:rsidR="00E34C88" w:rsidRPr="002B1620">
                <w:rPr>
                  <w:rStyle w:val="Hyperlink"/>
                  <w:rFonts w:ascii="Verdana" w:hAnsi="Verdana" w:cs="Segoe UI"/>
                  <w:sz w:val="20"/>
                  <w:szCs w:val="20"/>
                </w:rPr>
                <w:t>adaniels@celtrust.org</w:t>
              </w:r>
            </w:hyperlink>
            <w:r w:rsidR="00E34C88" w:rsidRPr="002B1620">
              <w:rPr>
                <w:rFonts w:ascii="Verdana" w:hAnsi="Verdana" w:cs="Segoe UI"/>
                <w:sz w:val="20"/>
                <w:szCs w:val="20"/>
              </w:rPr>
              <w:t>)</w:t>
            </w:r>
          </w:p>
          <w:p w14:paraId="1FE6329F" w14:textId="7DCC738A" w:rsidR="00657A22" w:rsidRPr="002B1620" w:rsidRDefault="00657A22" w:rsidP="00644CEE">
            <w:pPr>
              <w:pStyle w:val="NormalWeb"/>
              <w:rPr>
                <w:rFonts w:ascii="Verdana" w:hAnsi="Verdana" w:cs="Segoe UI"/>
                <w:sz w:val="20"/>
                <w:szCs w:val="20"/>
              </w:rPr>
            </w:pPr>
            <w:r w:rsidRPr="002B1620">
              <w:rPr>
                <w:rStyle w:val="Strong"/>
                <w:rFonts w:ascii="Verdana" w:hAnsi="Verdana" w:cs="Segoe UI"/>
                <w:sz w:val="20"/>
                <w:szCs w:val="20"/>
              </w:rPr>
              <w:t>Workstream 7</w:t>
            </w:r>
            <w:r w:rsidR="00644CEE" w:rsidRPr="002B1620">
              <w:rPr>
                <w:rStyle w:val="Strong"/>
                <w:rFonts w:ascii="Verdana" w:hAnsi="Verdana" w:cs="Segoe UI"/>
                <w:sz w:val="20"/>
                <w:szCs w:val="20"/>
              </w:rPr>
              <w:t xml:space="preserve"> - </w:t>
            </w:r>
            <w:r w:rsidR="00644CEE"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>P</w:t>
            </w:r>
            <w:r w:rsidR="212A1AFA"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eer Panels / </w:t>
            </w:r>
            <w:r w:rsidR="00F52771"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Experts </w:t>
            </w:r>
            <w:r w:rsidR="00516453"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>at Hand</w:t>
            </w:r>
            <w:r w:rsidRPr="002B1620">
              <w:rPr>
                <w:rFonts w:ascii="Verdana" w:hAnsi="Verdana" w:cs="Segoe UI"/>
                <w:sz w:val="20"/>
                <w:szCs w:val="20"/>
              </w:rPr>
              <w:t xml:space="preserve"> </w:t>
            </w:r>
            <w:proofErr w:type="gramStart"/>
            <w:r w:rsidR="00221730" w:rsidRPr="002B1620">
              <w:rPr>
                <w:rFonts w:ascii="Verdana" w:hAnsi="Verdana" w:cs="Segoe UI"/>
                <w:sz w:val="20"/>
                <w:szCs w:val="20"/>
              </w:rPr>
              <w:t>The</w:t>
            </w:r>
            <w:proofErr w:type="gramEnd"/>
            <w:r w:rsidR="00221730" w:rsidRPr="002B1620">
              <w:rPr>
                <w:rFonts w:ascii="Verdana" w:hAnsi="Verdana" w:cs="Segoe UI"/>
                <w:sz w:val="20"/>
                <w:szCs w:val="20"/>
              </w:rPr>
              <w:t xml:space="preserve"> Peer Partnerships / Experts at Hand </w:t>
            </w:r>
            <w:r w:rsidR="007329C8" w:rsidRPr="002B1620">
              <w:rPr>
                <w:rFonts w:ascii="Verdana" w:hAnsi="Verdana" w:cs="Segoe UI"/>
                <w:sz w:val="20"/>
                <w:szCs w:val="20"/>
              </w:rPr>
              <w:t>workstream has completed its development phase and will move into SEND Reform delivery arrangements as part of future implementation activity.</w:t>
            </w:r>
            <w:r w:rsidR="0065343D" w:rsidRPr="002B1620">
              <w:rPr>
                <w:rFonts w:ascii="Verdana" w:hAnsi="Verdana" w:cs="Segoe UI"/>
                <w:sz w:val="20"/>
                <w:szCs w:val="20"/>
              </w:rPr>
              <w:t xml:space="preserve"> Lead: </w:t>
            </w:r>
            <w:r w:rsidR="000A0908" w:rsidRPr="002B1620">
              <w:rPr>
                <w:rFonts w:ascii="Verdana" w:hAnsi="Verdana" w:cs="Segoe UI"/>
                <w:sz w:val="20"/>
                <w:szCs w:val="20"/>
              </w:rPr>
              <w:t>(</w:t>
            </w:r>
            <w:hyperlink r:id="rId14" w:history="1">
              <w:r w:rsidR="000A0908" w:rsidRPr="002B1620">
                <w:rPr>
                  <w:rStyle w:val="Hyperlink"/>
                  <w:rFonts w:ascii="Verdana" w:hAnsi="Verdana" w:cs="Segoe UI"/>
                  <w:sz w:val="20"/>
                  <w:szCs w:val="20"/>
                </w:rPr>
                <w:t>rachel.delourme@cornwall.gov.uk</w:t>
              </w:r>
            </w:hyperlink>
            <w:r w:rsidR="000A0908" w:rsidRPr="002B1620">
              <w:rPr>
                <w:rFonts w:ascii="Verdana" w:hAnsi="Verdana" w:cs="Segoe UI"/>
                <w:sz w:val="20"/>
                <w:szCs w:val="20"/>
              </w:rPr>
              <w:t>)</w:t>
            </w:r>
          </w:p>
          <w:p w14:paraId="08AA7550" w14:textId="2D638D9E" w:rsidR="00E25DBB" w:rsidRPr="003C193B" w:rsidRDefault="000A0F7F" w:rsidP="003C193B">
            <w:pPr>
              <w:pStyle w:val="NormalWeb"/>
              <w:rPr>
                <w:rFonts w:ascii="Verdana" w:hAnsi="Verdana" w:cs="Segoe UI"/>
                <w:sz w:val="20"/>
                <w:szCs w:val="20"/>
              </w:rPr>
            </w:pPr>
            <w:r w:rsidRPr="002B1620">
              <w:rPr>
                <w:rFonts w:ascii="Verdana" w:hAnsi="Verdana" w:cs="Segoe UI"/>
                <w:b/>
                <w:bCs/>
                <w:sz w:val="20"/>
                <w:szCs w:val="20"/>
              </w:rPr>
              <w:t>WS12 – Strategic Locality Future Planning Partnership</w:t>
            </w:r>
            <w:r w:rsidRPr="002B1620">
              <w:rPr>
                <w:rFonts w:ascii="Verdana" w:hAnsi="Verdana" w:cs="Segoe UI"/>
                <w:sz w:val="20"/>
                <w:szCs w:val="20"/>
              </w:rPr>
              <w:t xml:space="preserve"> </w:t>
            </w:r>
            <w:proofErr w:type="gramStart"/>
            <w:r w:rsidR="00A11BFB" w:rsidRPr="002B1620">
              <w:rPr>
                <w:rFonts w:ascii="Verdana" w:hAnsi="Verdana" w:cs="Segoe UI"/>
                <w:sz w:val="20"/>
                <w:szCs w:val="20"/>
              </w:rPr>
              <w:t>The</w:t>
            </w:r>
            <w:proofErr w:type="gramEnd"/>
            <w:r w:rsidR="00A11BFB" w:rsidRPr="002B1620">
              <w:rPr>
                <w:rFonts w:ascii="Verdana" w:hAnsi="Verdana" w:cs="Segoe UI"/>
                <w:sz w:val="20"/>
                <w:szCs w:val="20"/>
              </w:rPr>
              <w:t xml:space="preserve"> Mid Cornwall Sufficiency </w:t>
            </w:r>
            <w:r w:rsidR="00E04E0B" w:rsidRPr="002B1620">
              <w:rPr>
                <w:rFonts w:ascii="Verdana" w:hAnsi="Verdana" w:cs="Segoe UI"/>
                <w:sz w:val="20"/>
                <w:szCs w:val="20"/>
              </w:rPr>
              <w:t>has been identified as a pilot area to support implementation of SEND Reform. The approach will provide an opportunity to test, learn and inform wider rollout across the system.</w:t>
            </w:r>
            <w:r w:rsidR="00A11BFB" w:rsidRPr="002B1620">
              <w:rPr>
                <w:rFonts w:ascii="Verdana" w:hAnsi="Verdana" w:cs="Segoe UI"/>
                <w:sz w:val="20"/>
                <w:szCs w:val="20"/>
              </w:rPr>
              <w:t xml:space="preserve"> </w:t>
            </w:r>
            <w:r w:rsidR="0065343D" w:rsidRPr="002B1620">
              <w:rPr>
                <w:rFonts w:ascii="Verdana" w:hAnsi="Verdana" w:cs="Segoe UI"/>
                <w:sz w:val="20"/>
                <w:szCs w:val="20"/>
              </w:rPr>
              <w:t>Lead: Guy Chappel</w:t>
            </w:r>
            <w:r w:rsidR="000A0908" w:rsidRPr="002B1620">
              <w:rPr>
                <w:rFonts w:ascii="Verdana" w:hAnsi="Verdana" w:cs="Segoe UI"/>
                <w:sz w:val="20"/>
                <w:szCs w:val="20"/>
              </w:rPr>
              <w:t xml:space="preserve"> (</w:t>
            </w:r>
            <w:hyperlink r:id="rId15" w:history="1">
              <w:r w:rsidR="00860435" w:rsidRPr="002B1620">
                <w:rPr>
                  <w:rStyle w:val="Hyperlink"/>
                  <w:rFonts w:ascii="Verdana" w:hAnsi="Verdana" w:cs="Segoe UI"/>
                  <w:sz w:val="20"/>
                  <w:szCs w:val="20"/>
                </w:rPr>
                <w:t>gchappell@specialpartnership.org</w:t>
              </w:r>
            </w:hyperlink>
            <w:r w:rsidR="00860435" w:rsidRPr="002B1620">
              <w:rPr>
                <w:rFonts w:ascii="Verdana" w:hAnsi="Verdana" w:cs="Segoe UI"/>
                <w:sz w:val="20"/>
                <w:szCs w:val="20"/>
              </w:rPr>
              <w:t xml:space="preserve">) </w:t>
            </w:r>
          </w:p>
          <w:p w14:paraId="26B0CC1C" w14:textId="31656735" w:rsidR="00E25DBB" w:rsidRPr="002B1620" w:rsidRDefault="00E25DBB" w:rsidP="00B2266A">
            <w:pPr>
              <w:pStyle w:val="NormalWeb"/>
              <w:spacing w:line="300" w:lineRule="atLeast"/>
              <w:rPr>
                <w:sz w:val="20"/>
                <w:szCs w:val="20"/>
              </w:rPr>
            </w:pPr>
          </w:p>
        </w:tc>
      </w:tr>
    </w:tbl>
    <w:p w14:paraId="5550B6E9" w14:textId="77777777" w:rsidR="00FC0BCD" w:rsidRPr="00A521EC" w:rsidRDefault="00FC0BCD">
      <w:pPr>
        <w:rPr>
          <w:sz w:val="6"/>
          <w:szCs w:val="8"/>
        </w:rPr>
      </w:pPr>
    </w:p>
    <w:tbl>
      <w:tblPr>
        <w:tblW w:w="1049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425"/>
        <w:gridCol w:w="8065"/>
      </w:tblGrid>
      <w:tr w:rsidR="0065695C" w:rsidRPr="00A6607B" w14:paraId="6910E6F4" w14:textId="77777777" w:rsidTr="00904A03">
        <w:tc>
          <w:tcPr>
            <w:tcW w:w="104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 w:themeFill="accent1" w:themeFillTint="99"/>
            <w:hideMark/>
          </w:tcPr>
          <w:p w14:paraId="52FA580E" w14:textId="746E8C08" w:rsidR="0065695C" w:rsidRPr="00A6607B" w:rsidRDefault="0065695C" w:rsidP="00D07122">
            <w:pPr>
              <w:pStyle w:val="04TCCCTableCentresubhead"/>
            </w:pPr>
            <w:r w:rsidRPr="00A6607B">
              <w:t>Progress Since Last Report</w:t>
            </w:r>
            <w:r w:rsidR="00964E83">
              <w:t xml:space="preserve"> (summary – see w/s HL for detailed)</w:t>
            </w:r>
            <w:r w:rsidRPr="00A6607B">
              <w:t xml:space="preserve"> </w:t>
            </w:r>
          </w:p>
        </w:tc>
      </w:tr>
      <w:tr w:rsidR="0065695C" w14:paraId="5B18CDA7" w14:textId="77777777" w:rsidTr="00904A03">
        <w:tc>
          <w:tcPr>
            <w:tcW w:w="2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790A16" w14:textId="77777777" w:rsidR="0065695C" w:rsidRPr="00D71E78" w:rsidRDefault="0065695C" w:rsidP="00904A03">
            <w:pPr>
              <w:rPr>
                <w:b/>
                <w:szCs w:val="18"/>
              </w:rPr>
            </w:pPr>
            <w:r w:rsidRPr="00D71E78">
              <w:rPr>
                <w:b/>
                <w:szCs w:val="18"/>
              </w:rPr>
              <w:t xml:space="preserve">Accomplished against Plan since the last Highlight Report: </w:t>
            </w:r>
          </w:p>
        </w:tc>
        <w:tc>
          <w:tcPr>
            <w:tcW w:w="8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AA8C2" w14:textId="317DEF0F" w:rsidR="00A11BFB" w:rsidRPr="006C7862" w:rsidRDefault="00A11BFB" w:rsidP="00F558A8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szCs w:val="18"/>
              </w:rPr>
            </w:pPr>
          </w:p>
        </w:tc>
      </w:tr>
      <w:tr w:rsidR="00A11BFB" w14:paraId="786E416C" w14:textId="77777777" w:rsidTr="00904A03">
        <w:tc>
          <w:tcPr>
            <w:tcW w:w="2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965BD4" w14:textId="77777777" w:rsidR="00A11BFB" w:rsidRDefault="00A11BFB" w:rsidP="00A11BFB">
            <w:pPr>
              <w:pStyle w:val="Head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Not accomplished against the Plan since the last Highlight Report and why:</w:t>
            </w:r>
          </w:p>
        </w:tc>
        <w:tc>
          <w:tcPr>
            <w:tcW w:w="8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AA08F" w14:textId="7565B1C2" w:rsidR="00A11BFB" w:rsidRPr="0052765F" w:rsidRDefault="00A11BFB" w:rsidP="0052765F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</w:p>
        </w:tc>
      </w:tr>
      <w:tr w:rsidR="00A11BFB" w14:paraId="47576778" w14:textId="77777777" w:rsidTr="00904A03">
        <w:tc>
          <w:tcPr>
            <w:tcW w:w="2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D0C445" w14:textId="77777777" w:rsidR="00A11BFB" w:rsidRDefault="00A11BFB" w:rsidP="00A11BF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Planned deliverables for next period:</w:t>
            </w:r>
          </w:p>
        </w:tc>
        <w:tc>
          <w:tcPr>
            <w:tcW w:w="8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E6A78" w14:textId="75CD1D47" w:rsidR="00A11BFB" w:rsidRPr="005270B4" w:rsidRDefault="00A11BFB" w:rsidP="00F558A8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szCs w:val="18"/>
              </w:rPr>
            </w:pPr>
          </w:p>
        </w:tc>
      </w:tr>
    </w:tbl>
    <w:p w14:paraId="64EF06D2" w14:textId="77777777" w:rsidR="0005295E" w:rsidRPr="00A521EC" w:rsidRDefault="0005295E">
      <w:pPr>
        <w:rPr>
          <w:sz w:val="6"/>
          <w:szCs w:val="8"/>
        </w:rPr>
      </w:pPr>
    </w:p>
    <w:tbl>
      <w:tblPr>
        <w:tblW w:w="1049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95B3D7" w:themeFill="accent1" w:themeFillTint="99"/>
        <w:tblLook w:val="00A0" w:firstRow="1" w:lastRow="0" w:firstColumn="1" w:lastColumn="0" w:noHBand="0" w:noVBand="0"/>
      </w:tblPr>
      <w:tblGrid>
        <w:gridCol w:w="3725"/>
        <w:gridCol w:w="1091"/>
        <w:gridCol w:w="3548"/>
        <w:gridCol w:w="2126"/>
      </w:tblGrid>
      <w:tr w:rsidR="00C14FC2" w:rsidRPr="0015099A" w14:paraId="60385779" w14:textId="77777777" w:rsidTr="00904A03">
        <w:tc>
          <w:tcPr>
            <w:tcW w:w="10490" w:type="dxa"/>
            <w:gridSpan w:val="4"/>
            <w:shd w:val="clear" w:color="auto" w:fill="95B3D7" w:themeFill="accent1" w:themeFillTint="99"/>
          </w:tcPr>
          <w:p w14:paraId="2115E67F" w14:textId="39179713" w:rsidR="00C14FC2" w:rsidRPr="0015099A" w:rsidRDefault="00C14FC2" w:rsidP="00D07122">
            <w:pPr>
              <w:pStyle w:val="04TCCCTableCentresubhead"/>
            </w:pPr>
            <w:r>
              <w:t xml:space="preserve">Key </w:t>
            </w:r>
            <w:r w:rsidRPr="0015099A">
              <w:t>Risk</w:t>
            </w:r>
            <w:r>
              <w:t>s</w:t>
            </w:r>
            <w:r w:rsidRPr="0015099A">
              <w:t xml:space="preserve"> </w:t>
            </w:r>
            <w:r>
              <w:t>and Issues</w:t>
            </w:r>
          </w:p>
        </w:tc>
      </w:tr>
      <w:tr w:rsidR="00C14FC2" w:rsidRPr="006B5FD5" w14:paraId="36111E93" w14:textId="77777777" w:rsidTr="00904A03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604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  <w:hideMark/>
          </w:tcPr>
          <w:p w14:paraId="1B564955" w14:textId="77777777" w:rsidR="00C14FC2" w:rsidRPr="006B5FD5" w:rsidRDefault="00C14FC2" w:rsidP="00D07122">
            <w:pPr>
              <w:pStyle w:val="04TCCCTableCentresubhead"/>
            </w:pPr>
            <w:r w:rsidRPr="006B5FD5">
              <w:t xml:space="preserve">Description </w:t>
            </w:r>
            <w:r>
              <w:t>of R</w:t>
            </w:r>
            <w:r w:rsidRPr="006B5FD5">
              <w:t>isk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  <w:hideMark/>
          </w:tcPr>
          <w:p w14:paraId="5847F5E1" w14:textId="0451CBB5" w:rsidR="00C14FC2" w:rsidRPr="00D07122" w:rsidRDefault="00D07122" w:rsidP="00D07122">
            <w:pPr>
              <w:pStyle w:val="04TCCCTableCentresubhead"/>
            </w:pPr>
            <w:r w:rsidRPr="00D07122">
              <w:rPr>
                <w:color w:val="FF0000"/>
              </w:rPr>
              <w:t>RAG</w:t>
            </w:r>
          </w:p>
        </w:tc>
        <w:tc>
          <w:tcPr>
            <w:tcW w:w="3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</w:tcPr>
          <w:p w14:paraId="5BB094D3" w14:textId="77777777" w:rsidR="00C14FC2" w:rsidRDefault="00C14FC2" w:rsidP="00D07122">
            <w:pPr>
              <w:pStyle w:val="04TCCCTableCentresubhead"/>
            </w:pPr>
          </w:p>
          <w:p w14:paraId="204A458F" w14:textId="77777777" w:rsidR="00C14FC2" w:rsidRPr="006B5FD5" w:rsidRDefault="00C14FC2" w:rsidP="00D07122">
            <w:pPr>
              <w:pStyle w:val="04TCCCTableCentresubhead"/>
            </w:pPr>
            <w:r w:rsidRPr="006B5FD5">
              <w:t>Mitigation Plan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14:paraId="5C5B4FCC" w14:textId="77777777" w:rsidR="00C14FC2" w:rsidRPr="006B5FD5" w:rsidRDefault="00C14FC2" w:rsidP="00D07122">
            <w:pPr>
              <w:pStyle w:val="04TCCCTableCentresubhead"/>
            </w:pPr>
            <w:r>
              <w:t>Re-Rated RAG after mitigation</w:t>
            </w:r>
          </w:p>
        </w:tc>
      </w:tr>
      <w:tr w:rsidR="00C14FC2" w:rsidRPr="00BD777A" w14:paraId="501AC170" w14:textId="77777777" w:rsidTr="00904A03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EC298" w14:textId="77777777" w:rsidR="00C14FC2" w:rsidRPr="00BD777A" w:rsidRDefault="00C14FC2" w:rsidP="00D07122">
            <w:pPr>
              <w:pStyle w:val="04TCCCTableCentresubhead"/>
            </w:pP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C2F37" w14:textId="77777777" w:rsidR="00C14FC2" w:rsidRPr="00D07122" w:rsidRDefault="00C14FC2" w:rsidP="00D07122">
            <w:pPr>
              <w:pStyle w:val="04TCCCTableCentresubhead"/>
            </w:pPr>
          </w:p>
        </w:tc>
        <w:tc>
          <w:tcPr>
            <w:tcW w:w="3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C1D56" w14:textId="77777777" w:rsidR="00C14FC2" w:rsidRPr="00BD777A" w:rsidRDefault="00C14FC2" w:rsidP="00D07122">
            <w:pPr>
              <w:pStyle w:val="04TCCCTableCentresubhead"/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E233E" w14:textId="77777777" w:rsidR="00C14FC2" w:rsidRPr="00BD777A" w:rsidRDefault="00C14FC2" w:rsidP="00D07122">
            <w:pPr>
              <w:pStyle w:val="04TCCCTableCentresubhead"/>
            </w:pPr>
          </w:p>
        </w:tc>
      </w:tr>
      <w:tr w:rsidR="00C14FC2" w:rsidRPr="00BD777A" w14:paraId="1B56A838" w14:textId="77777777" w:rsidTr="00904A03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BBD35" w14:textId="77777777" w:rsidR="00C14FC2" w:rsidRPr="00BD777A" w:rsidRDefault="00C14FC2" w:rsidP="00D07122">
            <w:pPr>
              <w:pStyle w:val="04TCCCTableCentresubhead"/>
            </w:pP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653B8" w14:textId="77777777" w:rsidR="00C14FC2" w:rsidRPr="00D07122" w:rsidRDefault="00C14FC2" w:rsidP="00D07122">
            <w:pPr>
              <w:pStyle w:val="04TCCCTableCentresubhead"/>
            </w:pPr>
          </w:p>
        </w:tc>
        <w:tc>
          <w:tcPr>
            <w:tcW w:w="3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6C643" w14:textId="77777777" w:rsidR="00C14FC2" w:rsidRPr="00BD777A" w:rsidRDefault="00C14FC2" w:rsidP="00D07122">
            <w:pPr>
              <w:pStyle w:val="04TCCCTableCentresubhead"/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0BB1A" w14:textId="77777777" w:rsidR="00C14FC2" w:rsidRPr="00BD777A" w:rsidRDefault="00C14FC2" w:rsidP="00D07122">
            <w:pPr>
              <w:pStyle w:val="04TCCCTableCentresubhead"/>
            </w:pPr>
          </w:p>
        </w:tc>
      </w:tr>
      <w:tr w:rsidR="00C14FC2" w:rsidRPr="006B5FD5" w14:paraId="505481FE" w14:textId="77777777" w:rsidTr="00C14FC2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</w:tcPr>
          <w:p w14:paraId="66CB0546" w14:textId="736C8E3B" w:rsidR="00C14FC2" w:rsidRPr="006B5FD5" w:rsidRDefault="00C14FC2" w:rsidP="00D07122">
            <w:pPr>
              <w:pStyle w:val="04TCCCTableCentresubhead"/>
            </w:pPr>
            <w:r w:rsidRPr="006B5FD5">
              <w:t xml:space="preserve">Description </w:t>
            </w:r>
            <w:r>
              <w:t>of Issue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</w:tcPr>
          <w:p w14:paraId="159646B1" w14:textId="1BACED23" w:rsidR="00C14FC2" w:rsidRPr="00D07122" w:rsidRDefault="00C14FC2" w:rsidP="00D07122">
            <w:pPr>
              <w:pStyle w:val="04TCCCTableCentresubhead"/>
            </w:pPr>
            <w:r w:rsidRPr="00D07122">
              <w:rPr>
                <w:color w:val="FF0000"/>
              </w:rPr>
              <w:t>RAG</w:t>
            </w:r>
          </w:p>
        </w:tc>
        <w:tc>
          <w:tcPr>
            <w:tcW w:w="3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</w:tcPr>
          <w:p w14:paraId="4122BC3B" w14:textId="77777777" w:rsidR="00C14FC2" w:rsidRDefault="00C14FC2" w:rsidP="00D07122">
            <w:pPr>
              <w:pStyle w:val="04TCCCTableCentresubhead"/>
            </w:pPr>
          </w:p>
          <w:p w14:paraId="6C9C0BA8" w14:textId="77777777" w:rsidR="00C14FC2" w:rsidRPr="006B5FD5" w:rsidRDefault="00C14FC2" w:rsidP="00D07122">
            <w:pPr>
              <w:pStyle w:val="04TCCCTableCentresubhead"/>
            </w:pPr>
            <w:r w:rsidRPr="006B5FD5">
              <w:t>Mitigation Plan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</w:tcPr>
          <w:p w14:paraId="39781F46" w14:textId="77777777" w:rsidR="00C14FC2" w:rsidRPr="006B5FD5" w:rsidRDefault="00C14FC2" w:rsidP="00D07122">
            <w:pPr>
              <w:pStyle w:val="04TCCCTableCentresubhead"/>
            </w:pPr>
            <w:r>
              <w:t>Re-Rated RAG after mitigation</w:t>
            </w:r>
          </w:p>
        </w:tc>
      </w:tr>
      <w:tr w:rsidR="00C14FC2" w:rsidRPr="00BD777A" w14:paraId="1B72C533" w14:textId="77777777" w:rsidTr="00C14FC2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BC4A4" w14:textId="77777777" w:rsidR="00C14FC2" w:rsidRPr="00BD777A" w:rsidRDefault="00C14FC2" w:rsidP="00D07122">
            <w:pPr>
              <w:pStyle w:val="04TCCCTableCentresubhead"/>
            </w:pP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3997A" w14:textId="77777777" w:rsidR="00C14FC2" w:rsidRPr="00D07122" w:rsidRDefault="00C14FC2" w:rsidP="00D07122">
            <w:pPr>
              <w:pStyle w:val="04TCCCTableCentresubhead"/>
            </w:pPr>
          </w:p>
        </w:tc>
        <w:tc>
          <w:tcPr>
            <w:tcW w:w="3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3A541" w14:textId="77777777" w:rsidR="00C14FC2" w:rsidRPr="00BD777A" w:rsidRDefault="00C14FC2" w:rsidP="00D07122">
            <w:pPr>
              <w:pStyle w:val="04TCCCTableCentresubhead"/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7707A" w14:textId="77777777" w:rsidR="00C14FC2" w:rsidRPr="00BD777A" w:rsidRDefault="00C14FC2" w:rsidP="00D07122">
            <w:pPr>
              <w:pStyle w:val="04TCCCTableCentresubhead"/>
            </w:pPr>
          </w:p>
        </w:tc>
      </w:tr>
      <w:tr w:rsidR="00C14FC2" w:rsidRPr="00BD777A" w14:paraId="6CC16A4B" w14:textId="77777777" w:rsidTr="00C14FC2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3F6F1" w14:textId="77777777" w:rsidR="00C14FC2" w:rsidRPr="00BD777A" w:rsidRDefault="00C14FC2" w:rsidP="00D07122">
            <w:pPr>
              <w:pStyle w:val="04TCCCTableCentresubhead"/>
            </w:pP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544FB" w14:textId="77777777" w:rsidR="00C14FC2" w:rsidRPr="00D07122" w:rsidRDefault="00C14FC2" w:rsidP="00D07122">
            <w:pPr>
              <w:pStyle w:val="04TCCCTableCentresubhead"/>
            </w:pPr>
          </w:p>
        </w:tc>
        <w:tc>
          <w:tcPr>
            <w:tcW w:w="3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42B52" w14:textId="77777777" w:rsidR="00C14FC2" w:rsidRPr="00BD777A" w:rsidRDefault="00C14FC2" w:rsidP="00D07122">
            <w:pPr>
              <w:pStyle w:val="04TCCCTableCentresubhead"/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ED655" w14:textId="77777777" w:rsidR="00C14FC2" w:rsidRPr="00BD777A" w:rsidRDefault="00C14FC2" w:rsidP="00D07122">
            <w:pPr>
              <w:pStyle w:val="04TCCCTableCentresubhead"/>
            </w:pPr>
          </w:p>
        </w:tc>
      </w:tr>
    </w:tbl>
    <w:p w14:paraId="3C86F947" w14:textId="77777777" w:rsidR="00C14FC2" w:rsidRPr="00A521EC" w:rsidRDefault="00C14FC2">
      <w:pPr>
        <w:rPr>
          <w:sz w:val="6"/>
          <w:szCs w:val="8"/>
        </w:rPr>
      </w:pPr>
    </w:p>
    <w:tbl>
      <w:tblPr>
        <w:tblW w:w="1049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95B3D7" w:themeFill="accent1" w:themeFillTint="99"/>
        <w:tblLook w:val="00A0" w:firstRow="1" w:lastRow="0" w:firstColumn="1" w:lastColumn="0" w:noHBand="0" w:noVBand="0"/>
      </w:tblPr>
      <w:tblGrid>
        <w:gridCol w:w="3725"/>
        <w:gridCol w:w="4639"/>
        <w:gridCol w:w="2126"/>
      </w:tblGrid>
      <w:tr w:rsidR="00E85E19" w:rsidRPr="0015099A" w14:paraId="5564EFCD" w14:textId="77777777" w:rsidTr="005E60D2">
        <w:tc>
          <w:tcPr>
            <w:tcW w:w="10490" w:type="dxa"/>
            <w:gridSpan w:val="3"/>
            <w:shd w:val="clear" w:color="auto" w:fill="95B3D7" w:themeFill="accent1" w:themeFillTint="99"/>
          </w:tcPr>
          <w:p w14:paraId="78830508" w14:textId="04E4B99C" w:rsidR="00E85E19" w:rsidRPr="0015099A" w:rsidRDefault="00E85E19" w:rsidP="005E60D2">
            <w:pPr>
              <w:pStyle w:val="04TCCCTableCentresubhead"/>
            </w:pPr>
            <w:r>
              <w:t>Key dependencies</w:t>
            </w:r>
          </w:p>
        </w:tc>
      </w:tr>
      <w:tr w:rsidR="0010067F" w:rsidRPr="006B5FD5" w14:paraId="3D9BC51F" w14:textId="77777777" w:rsidTr="00A521EC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372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  <w:hideMark/>
          </w:tcPr>
          <w:p w14:paraId="1C507AE5" w14:textId="7578F4B0" w:rsidR="0010067F" w:rsidRPr="006B5FD5" w:rsidRDefault="0010067F" w:rsidP="005E60D2">
            <w:pPr>
              <w:pStyle w:val="04TCCCTableCentresubhead"/>
            </w:pPr>
            <w:r>
              <w:t>Brief d</w:t>
            </w:r>
            <w:r w:rsidRPr="006B5FD5">
              <w:t xml:space="preserve">escription </w:t>
            </w:r>
            <w:r>
              <w:t>of dependency</w:t>
            </w:r>
          </w:p>
        </w:tc>
        <w:tc>
          <w:tcPr>
            <w:tcW w:w="4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  <w:hideMark/>
          </w:tcPr>
          <w:p w14:paraId="29AFF090" w14:textId="1639130B" w:rsidR="0010067F" w:rsidRPr="006B5FD5" w:rsidRDefault="00A521EC" w:rsidP="005E60D2">
            <w:pPr>
              <w:pStyle w:val="04TCCCTableCentresubhead"/>
            </w:pPr>
            <w:r>
              <w:t>Jointly agreed plan in place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14:paraId="5DAC7F48" w14:textId="7522CE39" w:rsidR="0010067F" w:rsidRPr="006B5FD5" w:rsidRDefault="00A521EC" w:rsidP="005E60D2">
            <w:pPr>
              <w:pStyle w:val="04TCCCTableCentresubhead"/>
            </w:pPr>
            <w:r>
              <w:t>Confidence</w:t>
            </w:r>
          </w:p>
        </w:tc>
      </w:tr>
      <w:tr w:rsidR="0010067F" w:rsidRPr="00BD777A" w14:paraId="3B0BEA6B" w14:textId="77777777" w:rsidTr="00995B63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6198B" w14:textId="77777777" w:rsidR="0010067F" w:rsidRPr="00BD777A" w:rsidRDefault="0010067F" w:rsidP="005E60D2">
            <w:pPr>
              <w:pStyle w:val="04TCCCTableCentresubhead"/>
            </w:pPr>
          </w:p>
        </w:tc>
        <w:tc>
          <w:tcPr>
            <w:tcW w:w="4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88182" w14:textId="77777777" w:rsidR="0010067F" w:rsidRPr="00BD777A" w:rsidRDefault="0010067F" w:rsidP="005E60D2">
            <w:pPr>
              <w:pStyle w:val="04TCCCTableCentresubhead"/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D55A8" w14:textId="77777777" w:rsidR="0010067F" w:rsidRPr="00BD777A" w:rsidRDefault="0010067F" w:rsidP="005E60D2">
            <w:pPr>
              <w:pStyle w:val="04TCCCTableCentresubhead"/>
            </w:pPr>
          </w:p>
        </w:tc>
      </w:tr>
      <w:tr w:rsidR="0010067F" w:rsidRPr="00BD777A" w14:paraId="1BD60504" w14:textId="77777777" w:rsidTr="005C55BB">
        <w:tblPrEx>
          <w:shd w:val="clear" w:color="auto" w:fill="auto"/>
          <w:tblLook w:val="01E0" w:firstRow="1" w:lastRow="1" w:firstColumn="1" w:lastColumn="1" w:noHBand="0" w:noVBand="0"/>
        </w:tblPrEx>
        <w:trPr>
          <w:cantSplit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CE349" w14:textId="77777777" w:rsidR="0010067F" w:rsidRPr="00BD777A" w:rsidRDefault="0010067F" w:rsidP="005E60D2">
            <w:pPr>
              <w:pStyle w:val="04TCCCTableCentresubhead"/>
            </w:pPr>
          </w:p>
        </w:tc>
        <w:tc>
          <w:tcPr>
            <w:tcW w:w="4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EA1D9" w14:textId="77777777" w:rsidR="0010067F" w:rsidRPr="00BD777A" w:rsidRDefault="0010067F" w:rsidP="005E60D2">
            <w:pPr>
              <w:pStyle w:val="04TCCCTableCentresubhead"/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3EF74" w14:textId="77777777" w:rsidR="0010067F" w:rsidRPr="00BD777A" w:rsidRDefault="0010067F" w:rsidP="005E60D2">
            <w:pPr>
              <w:pStyle w:val="04TCCCTableCentresubhead"/>
            </w:pPr>
          </w:p>
        </w:tc>
      </w:tr>
    </w:tbl>
    <w:p w14:paraId="367D1B09" w14:textId="77777777" w:rsidR="00E85E19" w:rsidRPr="00002FD1" w:rsidRDefault="00E85E19"/>
    <w:sectPr w:rsidR="00E85E19" w:rsidRPr="00002FD1" w:rsidSect="00FC0BCD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EE035" w14:textId="77777777" w:rsidR="006372E3" w:rsidRDefault="006372E3" w:rsidP="0063023E">
      <w:pPr>
        <w:spacing w:before="0" w:after="0"/>
      </w:pPr>
      <w:r>
        <w:separator/>
      </w:r>
    </w:p>
  </w:endnote>
  <w:endnote w:type="continuationSeparator" w:id="0">
    <w:p w14:paraId="7B3C428B" w14:textId="77777777" w:rsidR="006372E3" w:rsidRDefault="006372E3" w:rsidP="006302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76C7" w14:textId="0767F9E9" w:rsidR="0066145E" w:rsidRDefault="00E85E19">
    <w:pPr>
      <w:pStyle w:val="Footer"/>
    </w:pPr>
    <w:r>
      <w:rPr>
        <w:noProof/>
      </w:rPr>
      <w:drawing>
        <wp:inline distT="0" distB="0" distL="0" distR="0" wp14:anchorId="3AEB0B07" wp14:editId="37240453">
          <wp:extent cx="533400" cy="484517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564" cy="492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FD686" w14:textId="77777777" w:rsidR="006372E3" w:rsidRDefault="006372E3" w:rsidP="0063023E">
      <w:pPr>
        <w:spacing w:before="0" w:after="0"/>
      </w:pPr>
      <w:r>
        <w:separator/>
      </w:r>
    </w:p>
  </w:footnote>
  <w:footnote w:type="continuationSeparator" w:id="0">
    <w:p w14:paraId="0111A8DA" w14:textId="77777777" w:rsidR="006372E3" w:rsidRDefault="006372E3" w:rsidP="006302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19AD" w14:textId="4839F0D9" w:rsidR="0063023E" w:rsidRPr="0063023E" w:rsidRDefault="009638CC">
    <w:pPr>
      <w:pStyle w:val="Header"/>
      <w:rPr>
        <w:sz w:val="32"/>
        <w:szCs w:val="36"/>
      </w:rPr>
    </w:pPr>
    <w:r w:rsidRPr="008F1845">
      <w:rPr>
        <w:noProof/>
        <w:sz w:val="32"/>
        <w:szCs w:val="3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4DCE2B5" wp14:editId="383F27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16d14d11a2b61f2f2611bb1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40421B" w14:textId="5FDE7075" w:rsidR="009638CC" w:rsidRPr="009638CC" w:rsidRDefault="009638CC" w:rsidP="009638CC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9638CC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E2B5" id="_x0000_t202" coordsize="21600,21600" o:spt="202" path="m,l,21600r21600,l21600,xe">
              <v:stroke joinstyle="miter"/>
              <v:path gradientshapeok="t" o:connecttype="rect"/>
            </v:shapetype>
            <v:shape id="MSIPCM16d14d11a2b61f2f2611bb1b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" o:allowincell="f" filled="f" stroked="f" strokeweight=".5pt">
              <v:textbox inset=",0,20pt,0">
                <w:txbxContent>
                  <w:p w14:paraId="4340421B" w14:textId="5FDE7075" w:rsidR="009638CC" w:rsidRPr="009638CC" w:rsidRDefault="009638CC" w:rsidP="009638CC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9638CC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023E" w:rsidRPr="008F1845">
      <w:rPr>
        <w:noProof/>
        <w:sz w:val="32"/>
        <w:szCs w:val="36"/>
      </w:rPr>
      <w:drawing>
        <wp:anchor distT="0" distB="0" distL="114300" distR="114300" simplePos="0" relativeHeight="251658240" behindDoc="0" locked="0" layoutInCell="1" allowOverlap="0" wp14:anchorId="36AFEB24" wp14:editId="1B143682">
          <wp:simplePos x="0" y="0"/>
          <wp:positionH relativeFrom="column">
            <wp:posOffset>6181725</wp:posOffset>
          </wp:positionH>
          <wp:positionV relativeFrom="paragraph">
            <wp:posOffset>-543560</wp:posOffset>
          </wp:positionV>
          <wp:extent cx="882650" cy="882650"/>
          <wp:effectExtent l="0" t="0" r="0" b="0"/>
          <wp:wrapSquare wrapText="bothSides"/>
          <wp:docPr id="1" name="Picture 2" descr="CC logo 7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 logo 7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1845">
      <w:rPr>
        <w:sz w:val="32"/>
        <w:szCs w:val="36"/>
      </w:rPr>
      <w:t xml:space="preserve">SEND </w:t>
    </w:r>
    <w:r w:rsidR="008F1845" w:rsidRPr="008F1845">
      <w:rPr>
        <w:sz w:val="32"/>
        <w:szCs w:val="36"/>
      </w:rPr>
      <w:t xml:space="preserve">Centres </w:t>
    </w:r>
    <w:proofErr w:type="gramStart"/>
    <w:r w:rsidR="008F1845" w:rsidRPr="008F1845">
      <w:rPr>
        <w:sz w:val="32"/>
        <w:szCs w:val="36"/>
      </w:rPr>
      <w:t>Of</w:t>
    </w:r>
    <w:proofErr w:type="gramEnd"/>
    <w:r w:rsidR="008F1845" w:rsidRPr="008F1845">
      <w:rPr>
        <w:sz w:val="32"/>
        <w:szCs w:val="36"/>
      </w:rPr>
      <w:t xml:space="preserve"> Excellence</w:t>
    </w:r>
    <w:r w:rsidR="0063023E" w:rsidRPr="0063023E">
      <w:rPr>
        <w:sz w:val="32"/>
        <w:szCs w:val="36"/>
      </w:rPr>
      <w:t xml:space="preserve"> Highlight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51C46"/>
    <w:multiLevelType w:val="multilevel"/>
    <w:tmpl w:val="C74A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54F6B"/>
    <w:multiLevelType w:val="multilevel"/>
    <w:tmpl w:val="15DE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57960"/>
    <w:multiLevelType w:val="multilevel"/>
    <w:tmpl w:val="6CFE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C7218"/>
    <w:multiLevelType w:val="hybridMultilevel"/>
    <w:tmpl w:val="B10231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226B7"/>
    <w:multiLevelType w:val="multilevel"/>
    <w:tmpl w:val="FB7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E3325"/>
    <w:multiLevelType w:val="multilevel"/>
    <w:tmpl w:val="C5BA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92DD8"/>
    <w:multiLevelType w:val="multilevel"/>
    <w:tmpl w:val="F996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5306E"/>
    <w:multiLevelType w:val="multilevel"/>
    <w:tmpl w:val="386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37B0E"/>
    <w:multiLevelType w:val="multilevel"/>
    <w:tmpl w:val="361E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3D4"/>
    <w:multiLevelType w:val="multilevel"/>
    <w:tmpl w:val="A08E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278B5"/>
    <w:multiLevelType w:val="multilevel"/>
    <w:tmpl w:val="0824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50795"/>
    <w:multiLevelType w:val="multilevel"/>
    <w:tmpl w:val="12E6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979D2"/>
    <w:multiLevelType w:val="multilevel"/>
    <w:tmpl w:val="9CB8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35D01"/>
    <w:multiLevelType w:val="multilevel"/>
    <w:tmpl w:val="7C3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25"/>
    <w:rsid w:val="00002FD1"/>
    <w:rsid w:val="00024B26"/>
    <w:rsid w:val="0002621D"/>
    <w:rsid w:val="0005295E"/>
    <w:rsid w:val="000612A4"/>
    <w:rsid w:val="00082E34"/>
    <w:rsid w:val="00094636"/>
    <w:rsid w:val="000A0908"/>
    <w:rsid w:val="000A0F7F"/>
    <w:rsid w:val="000B3978"/>
    <w:rsid w:val="000D609E"/>
    <w:rsid w:val="000F07DB"/>
    <w:rsid w:val="0010051A"/>
    <w:rsid w:val="0010067F"/>
    <w:rsid w:val="00100E90"/>
    <w:rsid w:val="001375ED"/>
    <w:rsid w:val="00146B23"/>
    <w:rsid w:val="0015502A"/>
    <w:rsid w:val="001552B2"/>
    <w:rsid w:val="00166D28"/>
    <w:rsid w:val="00182A8B"/>
    <w:rsid w:val="001D1238"/>
    <w:rsid w:val="001D46D9"/>
    <w:rsid w:val="001E3F27"/>
    <w:rsid w:val="00202964"/>
    <w:rsid w:val="0021023F"/>
    <w:rsid w:val="00221730"/>
    <w:rsid w:val="00233717"/>
    <w:rsid w:val="00234347"/>
    <w:rsid w:val="00237077"/>
    <w:rsid w:val="00285340"/>
    <w:rsid w:val="002A7237"/>
    <w:rsid w:val="002B1620"/>
    <w:rsid w:val="002C59E4"/>
    <w:rsid w:val="002D5680"/>
    <w:rsid w:val="003237A1"/>
    <w:rsid w:val="003C193B"/>
    <w:rsid w:val="003C24BA"/>
    <w:rsid w:val="00457E84"/>
    <w:rsid w:val="0047077E"/>
    <w:rsid w:val="00472428"/>
    <w:rsid w:val="00516453"/>
    <w:rsid w:val="0052765F"/>
    <w:rsid w:val="005648E1"/>
    <w:rsid w:val="00590F62"/>
    <w:rsid w:val="005D6DB4"/>
    <w:rsid w:val="005E3624"/>
    <w:rsid w:val="006118AA"/>
    <w:rsid w:val="0063023E"/>
    <w:rsid w:val="006372E3"/>
    <w:rsid w:val="00644CEE"/>
    <w:rsid w:val="006469C9"/>
    <w:rsid w:val="0065343D"/>
    <w:rsid w:val="0065695C"/>
    <w:rsid w:val="00657A22"/>
    <w:rsid w:val="0066145E"/>
    <w:rsid w:val="00661941"/>
    <w:rsid w:val="00684EF1"/>
    <w:rsid w:val="006A44B1"/>
    <w:rsid w:val="006C459B"/>
    <w:rsid w:val="006C7862"/>
    <w:rsid w:val="006F1CBB"/>
    <w:rsid w:val="00716B23"/>
    <w:rsid w:val="00724568"/>
    <w:rsid w:val="007329C8"/>
    <w:rsid w:val="00757DA2"/>
    <w:rsid w:val="00760787"/>
    <w:rsid w:val="007964FE"/>
    <w:rsid w:val="007A196B"/>
    <w:rsid w:val="007D1168"/>
    <w:rsid w:val="007E4F04"/>
    <w:rsid w:val="008237DA"/>
    <w:rsid w:val="00823B40"/>
    <w:rsid w:val="0084393E"/>
    <w:rsid w:val="008446F9"/>
    <w:rsid w:val="0085489A"/>
    <w:rsid w:val="00860435"/>
    <w:rsid w:val="0088705C"/>
    <w:rsid w:val="008C45AD"/>
    <w:rsid w:val="008C5706"/>
    <w:rsid w:val="008E6336"/>
    <w:rsid w:val="008F1845"/>
    <w:rsid w:val="00903922"/>
    <w:rsid w:val="00905B60"/>
    <w:rsid w:val="009439C1"/>
    <w:rsid w:val="00943C7E"/>
    <w:rsid w:val="009638CC"/>
    <w:rsid w:val="00964E83"/>
    <w:rsid w:val="00973ACE"/>
    <w:rsid w:val="009776AD"/>
    <w:rsid w:val="00983E4B"/>
    <w:rsid w:val="009B658B"/>
    <w:rsid w:val="00A026CE"/>
    <w:rsid w:val="00A11BFB"/>
    <w:rsid w:val="00A15CD6"/>
    <w:rsid w:val="00A24093"/>
    <w:rsid w:val="00A41178"/>
    <w:rsid w:val="00A51B03"/>
    <w:rsid w:val="00A521EC"/>
    <w:rsid w:val="00A53A4D"/>
    <w:rsid w:val="00A663A2"/>
    <w:rsid w:val="00A67487"/>
    <w:rsid w:val="00AD7B5A"/>
    <w:rsid w:val="00AE4CEC"/>
    <w:rsid w:val="00B20181"/>
    <w:rsid w:val="00B2266A"/>
    <w:rsid w:val="00B277A8"/>
    <w:rsid w:val="00B303DE"/>
    <w:rsid w:val="00B32A9A"/>
    <w:rsid w:val="00B45B36"/>
    <w:rsid w:val="00B86803"/>
    <w:rsid w:val="00BC6F55"/>
    <w:rsid w:val="00C0003D"/>
    <w:rsid w:val="00C14FC2"/>
    <w:rsid w:val="00C23C03"/>
    <w:rsid w:val="00CA1DBD"/>
    <w:rsid w:val="00CA6473"/>
    <w:rsid w:val="00CD1C1C"/>
    <w:rsid w:val="00CE64B8"/>
    <w:rsid w:val="00CE7453"/>
    <w:rsid w:val="00D07122"/>
    <w:rsid w:val="00D17D1E"/>
    <w:rsid w:val="00D22A72"/>
    <w:rsid w:val="00D24AC3"/>
    <w:rsid w:val="00D24B96"/>
    <w:rsid w:val="00D30576"/>
    <w:rsid w:val="00D44704"/>
    <w:rsid w:val="00D46F24"/>
    <w:rsid w:val="00D56329"/>
    <w:rsid w:val="00D7329C"/>
    <w:rsid w:val="00D73362"/>
    <w:rsid w:val="00DB4D11"/>
    <w:rsid w:val="00DF2D7A"/>
    <w:rsid w:val="00E04E0B"/>
    <w:rsid w:val="00E25C41"/>
    <w:rsid w:val="00E25DBB"/>
    <w:rsid w:val="00E34C88"/>
    <w:rsid w:val="00E3717B"/>
    <w:rsid w:val="00E54325"/>
    <w:rsid w:val="00E85E19"/>
    <w:rsid w:val="00E86497"/>
    <w:rsid w:val="00F30C72"/>
    <w:rsid w:val="00F368DB"/>
    <w:rsid w:val="00F52771"/>
    <w:rsid w:val="00F558A8"/>
    <w:rsid w:val="00F60B09"/>
    <w:rsid w:val="00F763DD"/>
    <w:rsid w:val="00F7704D"/>
    <w:rsid w:val="00F814F3"/>
    <w:rsid w:val="00F91FFF"/>
    <w:rsid w:val="00FC0BCD"/>
    <w:rsid w:val="00FC51F6"/>
    <w:rsid w:val="00FE4F51"/>
    <w:rsid w:val="00FE7C91"/>
    <w:rsid w:val="00FF07A3"/>
    <w:rsid w:val="1928987A"/>
    <w:rsid w:val="19960335"/>
    <w:rsid w:val="212A1AFA"/>
    <w:rsid w:val="5C11D97D"/>
    <w:rsid w:val="6CF6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084E3"/>
  <w15:chartTrackingRefBased/>
  <w15:docId w15:val="{AB826B2C-0F92-4EC2-AA05-A7B0266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95C"/>
    <w:pPr>
      <w:spacing w:before="40" w:after="40" w:line="240" w:lineRule="auto"/>
    </w:pPr>
    <w:rPr>
      <w:rFonts w:ascii="Verdana" w:eastAsia="Times New Roman" w:hAnsi="Verdana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69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5695C"/>
    <w:rPr>
      <w:rFonts w:ascii="Verdana" w:eastAsia="Times New Roman" w:hAnsi="Verdana" w:cs="Times New Roman"/>
      <w:sz w:val="18"/>
      <w:szCs w:val="20"/>
    </w:rPr>
  </w:style>
  <w:style w:type="paragraph" w:customStyle="1" w:styleId="04TCCCTableCentresubhead">
    <w:name w:val="04TC CC Table Centre subhead"/>
    <w:basedOn w:val="Normal"/>
    <w:autoRedefine/>
    <w:rsid w:val="00D07122"/>
    <w:pPr>
      <w:suppressAutoHyphens/>
      <w:ind w:right="-114"/>
      <w:jc w:val="center"/>
    </w:pPr>
    <w:rPr>
      <w:b/>
      <w:szCs w:val="18"/>
    </w:rPr>
  </w:style>
  <w:style w:type="paragraph" w:styleId="Footer">
    <w:name w:val="footer"/>
    <w:basedOn w:val="Normal"/>
    <w:link w:val="FooterChar"/>
    <w:uiPriority w:val="99"/>
    <w:unhideWhenUsed/>
    <w:rsid w:val="0063023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023E"/>
    <w:rPr>
      <w:rFonts w:ascii="Verdana" w:eastAsia="Times New Roman" w:hAnsi="Verdana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657A22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57A2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7A2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aniels@celtrus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banks@kernowlearning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niels@celtrust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gchappell@specialpartnership.org" TargetMode="External"/><Relationship Id="rId10" Type="http://schemas.openxmlformats.org/officeDocument/2006/relationships/hyperlink" Target="mailto:rachel.delourme@cornwall.gov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chel.delourme@cornwall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6" ma:contentTypeDescription="Create a new document." ma:contentTypeScope="" ma:versionID="5391364d18ad22597d3ac11624dff738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1d09f82bedaa9a6e2db14853d81d8200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F31C7-109D-4D6C-811E-A81ECC9F6B9E}">
  <ds:schemaRefs>
    <ds:schemaRef ds:uri="b2552c56-f950-4421-8bd3-01cdb328b0ef"/>
    <ds:schemaRef ds:uri="http://purl.org/dc/terms/"/>
    <ds:schemaRef ds:uri="caeccce5-f0d4-4842-9765-2a6e8c3b47f0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358FA1A-C254-49EC-93A9-89E88D795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EB1F0-F2C3-4324-9EE1-F0354C034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52c56-f950-4421-8bd3-01cdb328b0ef"/>
    <ds:schemaRef ds:uri="caeccce5-f0d4-4842-9765-2a6e8c3b4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 (Project Manager)</dc:creator>
  <cp:keywords/>
  <dc:description/>
  <cp:lastModifiedBy>Lucy Stein</cp:lastModifiedBy>
  <cp:revision>2</cp:revision>
  <dcterms:created xsi:type="dcterms:W3CDTF">2026-07-01T13:48:00Z</dcterms:created>
  <dcterms:modified xsi:type="dcterms:W3CDTF">2026-07-01T13:48:00Z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0x010100DF320E8580CBFA4D865E2C2A54D625CB</vt:lpwstr>
  </property>
  <property fmtid="{D5CDD505-2E9C-101B-9397-08002B2CF9AE}" pid="3" name="MSIP_Label_65bade86-969a-4cfc-8d70-99d1f0adeaba_Enabled">
    <vt:lpwstr>true</vt:lpwstr>
  </property>
  <property fmtid="{D5CDD505-2E9C-101B-9397-08002B2CF9AE}" pid="4" name="MSIP_Label_65bade86-969a-4cfc-8d70-99d1f0adeaba_SetDate">
    <vt:lpwstr>2023-06-08T13:59:31Z</vt:lpwstr>
  </property>
  <property fmtid="{D5CDD505-2E9C-101B-9397-08002B2CF9AE}" pid="5" name="MSIP_Label_65bade86-969a-4cfc-8d70-99d1f0adeaba_Method">
    <vt:lpwstr>Privileged</vt:lpwstr>
  </property>
  <property fmtid="{D5CDD505-2E9C-101B-9397-08002B2CF9AE}" pid="6" name="MSIP_Label_65bade86-969a-4cfc-8d70-99d1f0adeaba_Name">
    <vt:lpwstr>65bade86-969a-4cfc-8d70-99d1f0adeaba</vt:lpwstr>
  </property>
  <property fmtid="{D5CDD505-2E9C-101B-9397-08002B2CF9AE}" pid="7" name="MSIP_Label_65bade86-969a-4cfc-8d70-99d1f0adeaba_SiteId">
    <vt:lpwstr>efaa16aa-d1de-4d58-ba2e-2833fdfdd29f</vt:lpwstr>
  </property>
  <property fmtid="{D5CDD505-2E9C-101B-9397-08002B2CF9AE}" pid="8" name="MSIP_Label_65bade86-969a-4cfc-8d70-99d1f0adeaba_ActionId">
    <vt:lpwstr>68bafd91-1e4f-4f34-883e-30aae0045a9a</vt:lpwstr>
  </property>
  <property fmtid="{D5CDD505-2E9C-101B-9397-08002B2CF9AE}" pid="9" name="MSIP_Label_65bade86-969a-4cfc-8d70-99d1f0adeaba_ContentBits">
    <vt:lpwstr>1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