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D6187" w14:textId="77777777" w:rsidR="00B22B14" w:rsidRDefault="00B22B14" w:rsidP="00B22B14">
      <w:pPr>
        <w:spacing w:after="0"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kern w:val="0"/>
          <w:sz w:val="24"/>
          <w:szCs w:val="24"/>
          <w:lang w:eastAsia="en-GB"/>
          <w14:ligatures w14:val="none"/>
        </w:rPr>
        <w:t>Generated by AI. Make sure to check for accuracy.</w:t>
      </w:r>
    </w:p>
    <w:p w14:paraId="39F6190D" w14:textId="77777777" w:rsidR="002B723C" w:rsidRDefault="002B723C" w:rsidP="00B22B14">
      <w:pPr>
        <w:spacing w:after="0" w:line="240" w:lineRule="auto"/>
        <w:rPr>
          <w:rFonts w:ascii="Times New Roman" w:eastAsia="Times New Roman" w:hAnsi="Times New Roman" w:cs="Times New Roman"/>
          <w:kern w:val="0"/>
          <w:sz w:val="24"/>
          <w:szCs w:val="24"/>
          <w:lang w:eastAsia="en-GB"/>
          <w14:ligatures w14:val="none"/>
        </w:rPr>
      </w:pPr>
    </w:p>
    <w:p w14:paraId="7EE063B8" w14:textId="2DD436C3" w:rsidR="00621A31" w:rsidRPr="00621A31" w:rsidRDefault="00621A31" w:rsidP="00621A31">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621A31">
        <w:rPr>
          <w:rFonts w:ascii="Segoe UI" w:eastAsia="Times New Roman" w:hAnsi="Segoe UI" w:cs="Segoe UI"/>
          <w:b/>
          <w:bCs/>
          <w:kern w:val="0"/>
          <w:sz w:val="36"/>
          <w:szCs w:val="36"/>
          <w:lang w:eastAsia="en-GB"/>
          <w14:ligatures w14:val="none"/>
        </w:rPr>
        <w:t>Purpose and framing of Experts at Hand</w:t>
      </w:r>
    </w:p>
    <w:p w14:paraId="015E94C4"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Discussion</w:t>
      </w:r>
    </w:p>
    <w:p w14:paraId="247DCDB1" w14:textId="77777777" w:rsidR="00621A31" w:rsidRPr="00621A31" w:rsidRDefault="00621A31" w:rsidP="00621A31">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Experts at Hand should sit firmly at </w:t>
      </w:r>
      <w:r w:rsidRPr="00621A31">
        <w:rPr>
          <w:rFonts w:ascii="Segoe UI" w:eastAsia="Times New Roman" w:hAnsi="Segoe UI" w:cs="Segoe UI"/>
          <w:b/>
          <w:bCs/>
          <w:kern w:val="0"/>
          <w:sz w:val="21"/>
          <w:szCs w:val="21"/>
          <w:lang w:eastAsia="en-GB"/>
          <w14:ligatures w14:val="none"/>
        </w:rPr>
        <w:t>universal and targeted</w:t>
      </w:r>
      <w:r w:rsidRPr="00621A31">
        <w:rPr>
          <w:rFonts w:ascii="Segoe UI" w:eastAsia="Times New Roman" w:hAnsi="Segoe UI" w:cs="Segoe UI"/>
          <w:kern w:val="0"/>
          <w:sz w:val="21"/>
          <w:szCs w:val="21"/>
          <w:lang w:eastAsia="en-GB"/>
          <w14:ligatures w14:val="none"/>
        </w:rPr>
        <w:t xml:space="preserve"> levels, not replace specialist or statutory services.</w:t>
      </w:r>
    </w:p>
    <w:p w14:paraId="0948B268" w14:textId="77777777" w:rsidR="00621A31" w:rsidRPr="00621A31" w:rsidRDefault="00621A31" w:rsidP="00621A31">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The offer is about </w:t>
      </w:r>
      <w:r w:rsidRPr="00621A31">
        <w:rPr>
          <w:rFonts w:ascii="Segoe UI" w:eastAsia="Times New Roman" w:hAnsi="Segoe UI" w:cs="Segoe UI"/>
          <w:b/>
          <w:bCs/>
          <w:kern w:val="0"/>
          <w:sz w:val="21"/>
          <w:szCs w:val="21"/>
          <w:lang w:eastAsia="en-GB"/>
          <w14:ligatures w14:val="none"/>
        </w:rPr>
        <w:t>prevention, early help and confidence</w:t>
      </w:r>
      <w:r w:rsidRPr="00621A31">
        <w:rPr>
          <w:rFonts w:ascii="Segoe UI" w:eastAsia="Times New Roman" w:hAnsi="Segoe UI" w:cs="Segoe UI"/>
          <w:b/>
          <w:bCs/>
          <w:kern w:val="0"/>
          <w:sz w:val="21"/>
          <w:szCs w:val="21"/>
          <w:lang w:eastAsia="en-GB"/>
          <w14:ligatures w14:val="none"/>
        </w:rPr>
        <w:noBreakHyphen/>
        <w:t>building</w:t>
      </w:r>
      <w:r w:rsidRPr="00621A31">
        <w:rPr>
          <w:rFonts w:ascii="Segoe UI" w:eastAsia="Times New Roman" w:hAnsi="Segoe UI" w:cs="Segoe UI"/>
          <w:kern w:val="0"/>
          <w:sz w:val="21"/>
          <w:szCs w:val="21"/>
          <w:lang w:eastAsia="en-GB"/>
          <w14:ligatures w14:val="none"/>
        </w:rPr>
        <w:t>, not assessment or diagnosis.</w:t>
      </w:r>
    </w:p>
    <w:p w14:paraId="44F0FA1D" w14:textId="77777777" w:rsidR="00621A31" w:rsidRPr="00621A31" w:rsidRDefault="00621A31" w:rsidP="00621A31">
      <w:pPr>
        <w:numPr>
          <w:ilvl w:val="0"/>
          <w:numId w:val="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Strong emphasis on supporting </w:t>
      </w:r>
      <w:r w:rsidRPr="00621A31">
        <w:rPr>
          <w:rFonts w:ascii="Segoe UI" w:eastAsia="Times New Roman" w:hAnsi="Segoe UI" w:cs="Segoe UI"/>
          <w:b/>
          <w:bCs/>
          <w:kern w:val="0"/>
          <w:sz w:val="21"/>
          <w:szCs w:val="21"/>
          <w:lang w:eastAsia="en-GB"/>
          <w14:ligatures w14:val="none"/>
        </w:rPr>
        <w:t>whole schools, cohorts and communities</w:t>
      </w:r>
      <w:r w:rsidRPr="00621A31">
        <w:rPr>
          <w:rFonts w:ascii="Segoe UI" w:eastAsia="Times New Roman" w:hAnsi="Segoe UI" w:cs="Segoe UI"/>
          <w:kern w:val="0"/>
          <w:sz w:val="21"/>
          <w:szCs w:val="21"/>
          <w:lang w:eastAsia="en-GB"/>
          <w14:ligatures w14:val="none"/>
        </w:rPr>
        <w:t>, rather than individual children.</w:t>
      </w:r>
    </w:p>
    <w:p w14:paraId="6BB800D0"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Key responses / consensus</w:t>
      </w:r>
    </w:p>
    <w:p w14:paraId="0D041EA8" w14:textId="77777777" w:rsidR="00621A31" w:rsidRPr="00621A31" w:rsidRDefault="00621A31" w:rsidP="00621A31">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Experts at Hand should strengthen </w:t>
      </w:r>
      <w:r w:rsidRPr="00621A31">
        <w:rPr>
          <w:rFonts w:ascii="Segoe UI" w:eastAsia="Times New Roman" w:hAnsi="Segoe UI" w:cs="Segoe UI"/>
          <w:b/>
          <w:bCs/>
          <w:kern w:val="0"/>
          <w:sz w:val="21"/>
          <w:szCs w:val="21"/>
          <w:lang w:eastAsia="en-GB"/>
          <w14:ligatures w14:val="none"/>
        </w:rPr>
        <w:t>ordinarily available provision</w:t>
      </w:r>
      <w:r w:rsidRPr="00621A31">
        <w:rPr>
          <w:rFonts w:ascii="Segoe UI" w:eastAsia="Times New Roman" w:hAnsi="Segoe UI" w:cs="Segoe UI"/>
          <w:kern w:val="0"/>
          <w:sz w:val="21"/>
          <w:szCs w:val="21"/>
          <w:lang w:eastAsia="en-GB"/>
          <w14:ligatures w14:val="none"/>
        </w:rPr>
        <w:t>, improve inclusion, and reduce escalation.</w:t>
      </w:r>
    </w:p>
    <w:p w14:paraId="7218C681" w14:textId="77777777" w:rsidR="00621A31" w:rsidRPr="00621A31" w:rsidRDefault="00621A31" w:rsidP="00621A31">
      <w:pPr>
        <w:numPr>
          <w:ilvl w:val="0"/>
          <w:numId w:val="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The model should prioritise advice, consultation, CPD and systems leadership rather than casework.</w:t>
      </w:r>
    </w:p>
    <w:p w14:paraId="5AD46318" w14:textId="72AA2A1E" w:rsidR="00621A31" w:rsidRPr="00621A31" w:rsidRDefault="00621A31" w:rsidP="00621A31">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621A31">
        <w:rPr>
          <w:rFonts w:ascii="Segoe UI" w:eastAsia="Times New Roman" w:hAnsi="Segoe UI" w:cs="Segoe UI"/>
          <w:b/>
          <w:bCs/>
          <w:kern w:val="0"/>
          <w:sz w:val="36"/>
          <w:szCs w:val="36"/>
          <w:lang w:eastAsia="en-GB"/>
          <w14:ligatures w14:val="none"/>
        </w:rPr>
        <w:t>Neighbourhood and locality delivery model</w:t>
      </w:r>
    </w:p>
    <w:p w14:paraId="20EA6BE2"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Discussion</w:t>
      </w:r>
    </w:p>
    <w:p w14:paraId="5C39809C" w14:textId="77777777" w:rsidR="00621A31" w:rsidRPr="00621A31" w:rsidRDefault="00621A31" w:rsidP="00621A31">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Strong support for a </w:t>
      </w:r>
      <w:r w:rsidRPr="00621A31">
        <w:rPr>
          <w:rFonts w:ascii="Segoe UI" w:eastAsia="Times New Roman" w:hAnsi="Segoe UI" w:cs="Segoe UI"/>
          <w:b/>
          <w:bCs/>
          <w:kern w:val="0"/>
          <w:sz w:val="21"/>
          <w:szCs w:val="21"/>
          <w:lang w:eastAsia="en-GB"/>
          <w14:ligatures w14:val="none"/>
        </w:rPr>
        <w:t>neighbourhood / cluster</w:t>
      </w:r>
      <w:r w:rsidRPr="00621A31">
        <w:rPr>
          <w:rFonts w:ascii="Segoe UI" w:eastAsia="Times New Roman" w:hAnsi="Segoe UI" w:cs="Segoe UI"/>
          <w:b/>
          <w:bCs/>
          <w:kern w:val="0"/>
          <w:sz w:val="21"/>
          <w:szCs w:val="21"/>
          <w:lang w:eastAsia="en-GB"/>
          <w14:ligatures w14:val="none"/>
        </w:rPr>
        <w:noBreakHyphen/>
        <w:t>based model</w:t>
      </w:r>
      <w:r w:rsidRPr="00621A31">
        <w:rPr>
          <w:rFonts w:ascii="Segoe UI" w:eastAsia="Times New Roman" w:hAnsi="Segoe UI" w:cs="Segoe UI"/>
          <w:kern w:val="0"/>
          <w:sz w:val="21"/>
          <w:szCs w:val="21"/>
          <w:lang w:eastAsia="en-GB"/>
          <w14:ligatures w14:val="none"/>
        </w:rPr>
        <w:t>, aligned where possible to existing education, health and family geographies.</w:t>
      </w:r>
    </w:p>
    <w:p w14:paraId="2507D3C4" w14:textId="77777777" w:rsidR="00621A31" w:rsidRPr="00621A31" w:rsidRDefault="00621A31" w:rsidP="00621A31">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Recognition that Cornwall’s geography requires </w:t>
      </w:r>
      <w:r w:rsidRPr="00621A31">
        <w:rPr>
          <w:rFonts w:ascii="Segoe UI" w:eastAsia="Times New Roman" w:hAnsi="Segoe UI" w:cs="Segoe UI"/>
          <w:b/>
          <w:bCs/>
          <w:kern w:val="0"/>
          <w:sz w:val="21"/>
          <w:szCs w:val="21"/>
          <w:lang w:eastAsia="en-GB"/>
          <w14:ligatures w14:val="none"/>
        </w:rPr>
        <w:t>flexibility</w:t>
      </w:r>
      <w:r w:rsidRPr="00621A31">
        <w:rPr>
          <w:rFonts w:ascii="Segoe UI" w:eastAsia="Times New Roman" w:hAnsi="Segoe UI" w:cs="Segoe UI"/>
          <w:kern w:val="0"/>
          <w:sz w:val="21"/>
          <w:szCs w:val="21"/>
          <w:lang w:eastAsia="en-GB"/>
          <w14:ligatures w14:val="none"/>
        </w:rPr>
        <w:t>, not rigid boundaries.</w:t>
      </w:r>
    </w:p>
    <w:p w14:paraId="3853B9AE" w14:textId="77777777" w:rsidR="00621A31" w:rsidRPr="00621A31" w:rsidRDefault="00621A31" w:rsidP="00621A31">
      <w:pPr>
        <w:numPr>
          <w:ilvl w:val="0"/>
          <w:numId w:val="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Avoidance of creating new silos or “castle building”.</w:t>
      </w:r>
    </w:p>
    <w:p w14:paraId="7F0719E1"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Key responses / consensus</w:t>
      </w:r>
    </w:p>
    <w:p w14:paraId="4E78CC7E" w14:textId="77777777" w:rsidR="00621A31" w:rsidRPr="00621A31" w:rsidRDefault="00621A31" w:rsidP="00621A31">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Use existing neighbourhoods, clusters and relationships as the starting point.</w:t>
      </w:r>
    </w:p>
    <w:p w14:paraId="0B49CC14" w14:textId="77777777" w:rsidR="00621A31" w:rsidRPr="00621A31" w:rsidRDefault="00621A31" w:rsidP="00621A31">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Allow models to adapt locally while operating within a consistent county</w:t>
      </w:r>
      <w:r w:rsidRPr="00621A31">
        <w:rPr>
          <w:rFonts w:ascii="Segoe UI" w:eastAsia="Times New Roman" w:hAnsi="Segoe UI" w:cs="Segoe UI"/>
          <w:kern w:val="0"/>
          <w:sz w:val="21"/>
          <w:szCs w:val="21"/>
          <w:lang w:eastAsia="en-GB"/>
          <w14:ligatures w14:val="none"/>
        </w:rPr>
        <w:noBreakHyphen/>
        <w:t>wide framework.</w:t>
      </w:r>
    </w:p>
    <w:p w14:paraId="2926C7A0" w14:textId="77777777" w:rsidR="00621A31" w:rsidRPr="00621A31" w:rsidRDefault="00621A31" w:rsidP="00621A31">
      <w:pPr>
        <w:numPr>
          <w:ilvl w:val="0"/>
          <w:numId w:val="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Focus on equitable access based on need, not on which settings are most confident or vocal.</w:t>
      </w:r>
    </w:p>
    <w:p w14:paraId="558FDA71" w14:textId="19A16244" w:rsidR="00621A31" w:rsidRPr="00621A31" w:rsidRDefault="00621A31" w:rsidP="00621A31">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621A31">
        <w:rPr>
          <w:rFonts w:ascii="Segoe UI" w:eastAsia="Times New Roman" w:hAnsi="Segoe UI" w:cs="Segoe UI"/>
          <w:b/>
          <w:bCs/>
          <w:kern w:val="0"/>
          <w:sz w:val="36"/>
          <w:szCs w:val="36"/>
          <w:lang w:eastAsia="en-GB"/>
          <w14:ligatures w14:val="none"/>
        </w:rPr>
        <w:t>Role of schools, AP and special schools</w:t>
      </w:r>
    </w:p>
    <w:p w14:paraId="0ABBF20D"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Discussion</w:t>
      </w:r>
    </w:p>
    <w:p w14:paraId="67419DC2" w14:textId="77777777" w:rsidR="00621A31" w:rsidRPr="00621A31" w:rsidRDefault="00621A31" w:rsidP="00621A31">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Strong desire to unlock and share </w:t>
      </w:r>
      <w:r w:rsidRPr="00621A31">
        <w:rPr>
          <w:rFonts w:ascii="Segoe UI" w:eastAsia="Times New Roman" w:hAnsi="Segoe UI" w:cs="Segoe UI"/>
          <w:b/>
          <w:bCs/>
          <w:kern w:val="0"/>
          <w:sz w:val="21"/>
          <w:szCs w:val="21"/>
          <w:lang w:eastAsia="en-GB"/>
          <w14:ligatures w14:val="none"/>
        </w:rPr>
        <w:t>existing expertise within schools</w:t>
      </w:r>
      <w:r w:rsidRPr="00621A31">
        <w:rPr>
          <w:rFonts w:ascii="Segoe UI" w:eastAsia="Times New Roman" w:hAnsi="Segoe UI" w:cs="Segoe UI"/>
          <w:kern w:val="0"/>
          <w:sz w:val="21"/>
          <w:szCs w:val="21"/>
          <w:lang w:eastAsia="en-GB"/>
          <w14:ligatures w14:val="none"/>
        </w:rPr>
        <w:t>, AP and special schools.</w:t>
      </w:r>
    </w:p>
    <w:p w14:paraId="5B4E0ECA" w14:textId="77777777" w:rsidR="00621A31" w:rsidRPr="00621A31" w:rsidRDefault="00621A31" w:rsidP="00621A31">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Recognition that special schools and AP already hold valuable skills relevant to mainstream inclusion.</w:t>
      </w:r>
    </w:p>
    <w:p w14:paraId="5C9A4A20" w14:textId="77777777" w:rsidR="00621A31" w:rsidRPr="00621A31" w:rsidRDefault="00621A31" w:rsidP="00621A31">
      <w:pPr>
        <w:numPr>
          <w:ilvl w:val="0"/>
          <w:numId w:val="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lastRenderedPageBreak/>
        <w:t>Need for clarity about what AP is, what it is not, and how outreach and in</w:t>
      </w:r>
      <w:r w:rsidRPr="00621A31">
        <w:rPr>
          <w:rFonts w:ascii="Segoe UI" w:eastAsia="Times New Roman" w:hAnsi="Segoe UI" w:cs="Segoe UI"/>
          <w:kern w:val="0"/>
          <w:sz w:val="21"/>
          <w:szCs w:val="21"/>
          <w:lang w:eastAsia="en-GB"/>
          <w14:ligatures w14:val="none"/>
        </w:rPr>
        <w:noBreakHyphen/>
        <w:t>reach should function.</w:t>
      </w:r>
    </w:p>
    <w:p w14:paraId="261A994D"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Key responses / consensus</w:t>
      </w:r>
    </w:p>
    <w:p w14:paraId="6577D31F" w14:textId="77777777" w:rsidR="00621A31" w:rsidRPr="00621A31" w:rsidRDefault="00621A31" w:rsidP="00621A31">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Special schools and AP should contribute through </w:t>
      </w:r>
      <w:r w:rsidRPr="00621A31">
        <w:rPr>
          <w:rFonts w:ascii="Segoe UI" w:eastAsia="Times New Roman" w:hAnsi="Segoe UI" w:cs="Segoe UI"/>
          <w:b/>
          <w:bCs/>
          <w:kern w:val="0"/>
          <w:sz w:val="21"/>
          <w:szCs w:val="21"/>
          <w:lang w:eastAsia="en-GB"/>
          <w14:ligatures w14:val="none"/>
        </w:rPr>
        <w:t>outreach, advisory and coaching roles</w:t>
      </w:r>
      <w:r w:rsidRPr="00621A31">
        <w:rPr>
          <w:rFonts w:ascii="Segoe UI" w:eastAsia="Times New Roman" w:hAnsi="Segoe UI" w:cs="Segoe UI"/>
          <w:kern w:val="0"/>
          <w:sz w:val="21"/>
          <w:szCs w:val="21"/>
          <w:lang w:eastAsia="en-GB"/>
          <w14:ligatures w14:val="none"/>
        </w:rPr>
        <w:t>, supporting mainstream capacity.</w:t>
      </w:r>
    </w:p>
    <w:p w14:paraId="40EB3649" w14:textId="77777777" w:rsidR="00621A31" w:rsidRPr="00621A31" w:rsidRDefault="00621A31" w:rsidP="00621A31">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Clear definitions and expectations are needed to avoid duplication and drift.</w:t>
      </w:r>
    </w:p>
    <w:p w14:paraId="1A8E692F" w14:textId="77777777" w:rsidR="00621A31" w:rsidRPr="00621A31" w:rsidRDefault="00621A31" w:rsidP="00621A31">
      <w:pPr>
        <w:numPr>
          <w:ilvl w:val="0"/>
          <w:numId w:val="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Outreach should reinforce universal and targeted provision, not substitute for placement decision</w:t>
      </w:r>
      <w:r w:rsidRPr="00621A31">
        <w:rPr>
          <w:rFonts w:ascii="Segoe UI" w:eastAsia="Times New Roman" w:hAnsi="Segoe UI" w:cs="Segoe UI"/>
          <w:kern w:val="0"/>
          <w:sz w:val="21"/>
          <w:szCs w:val="21"/>
          <w:lang w:eastAsia="en-GB"/>
          <w14:ligatures w14:val="none"/>
        </w:rPr>
        <w:noBreakHyphen/>
        <w:t>making.</w:t>
      </w:r>
    </w:p>
    <w:p w14:paraId="385AF5E8" w14:textId="5447C48B" w:rsidR="00621A31" w:rsidRPr="00621A31" w:rsidRDefault="00621A31" w:rsidP="00621A31">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621A31">
        <w:rPr>
          <w:rFonts w:ascii="Segoe UI" w:eastAsia="Times New Roman" w:hAnsi="Segoe UI" w:cs="Segoe UI"/>
          <w:b/>
          <w:bCs/>
          <w:kern w:val="0"/>
          <w:sz w:val="36"/>
          <w:szCs w:val="36"/>
          <w:lang w:eastAsia="en-GB"/>
          <w14:ligatures w14:val="none"/>
        </w:rPr>
        <w:t>Workforce and “mixed economy” of expertise</w:t>
      </w:r>
    </w:p>
    <w:p w14:paraId="149897A1"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Discussion</w:t>
      </w:r>
    </w:p>
    <w:p w14:paraId="3CFDC6DE" w14:textId="77777777" w:rsidR="00621A31" w:rsidRPr="00621A31" w:rsidRDefault="00621A31" w:rsidP="00621A31">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Acute concern about workforce capacity, particularly educational psychology and specialist health roles.</w:t>
      </w:r>
    </w:p>
    <w:p w14:paraId="6EC30225" w14:textId="77777777" w:rsidR="00621A31" w:rsidRPr="00621A31" w:rsidRDefault="00621A31" w:rsidP="00621A31">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Recognition that reliance solely on fully qualified specialists is neither realistic nor sustainable.</w:t>
      </w:r>
    </w:p>
    <w:p w14:paraId="4A363AEE" w14:textId="77777777" w:rsidR="00621A31" w:rsidRPr="00621A31" w:rsidRDefault="00621A31" w:rsidP="00621A31">
      <w:pPr>
        <w:numPr>
          <w:ilvl w:val="0"/>
          <w:numId w:val="9"/>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Interest in tiered models of expertise (e.g. qualified specialists, trainees, assistants).</w:t>
      </w:r>
    </w:p>
    <w:p w14:paraId="1D7F8F1C"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Key responses / consensus</w:t>
      </w:r>
    </w:p>
    <w:p w14:paraId="41A1E60F" w14:textId="77777777" w:rsidR="00621A31" w:rsidRPr="00621A31" w:rsidRDefault="00621A31" w:rsidP="00621A31">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Support for a </w:t>
      </w:r>
      <w:r w:rsidRPr="00621A31">
        <w:rPr>
          <w:rFonts w:ascii="Segoe UI" w:eastAsia="Times New Roman" w:hAnsi="Segoe UI" w:cs="Segoe UI"/>
          <w:b/>
          <w:bCs/>
          <w:kern w:val="0"/>
          <w:sz w:val="21"/>
          <w:szCs w:val="21"/>
          <w:lang w:eastAsia="en-GB"/>
          <w14:ligatures w14:val="none"/>
        </w:rPr>
        <w:t>mixed economy workforce model</w:t>
      </w:r>
      <w:r w:rsidRPr="00621A31">
        <w:rPr>
          <w:rFonts w:ascii="Segoe UI" w:eastAsia="Times New Roman" w:hAnsi="Segoe UI" w:cs="Segoe UI"/>
          <w:kern w:val="0"/>
          <w:sz w:val="21"/>
          <w:szCs w:val="21"/>
          <w:lang w:eastAsia="en-GB"/>
          <w14:ligatures w14:val="none"/>
        </w:rPr>
        <w:t>, with clarity on roles, supervision and limits.</w:t>
      </w:r>
    </w:p>
    <w:p w14:paraId="7B03B2D3" w14:textId="77777777" w:rsidR="00621A31" w:rsidRPr="00621A31" w:rsidRDefault="00621A31" w:rsidP="00621A31">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Strong endorsement of coaching, modelling and training approaches that “stick”.</w:t>
      </w:r>
    </w:p>
    <w:p w14:paraId="57F03FA3" w14:textId="77777777" w:rsidR="00621A31" w:rsidRPr="00621A31" w:rsidRDefault="00621A31" w:rsidP="00621A31">
      <w:pPr>
        <w:numPr>
          <w:ilvl w:val="0"/>
          <w:numId w:val="10"/>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Examples such as mediation/learning assistant models highlighted as effective and scalable.</w:t>
      </w:r>
    </w:p>
    <w:p w14:paraId="6DD78F45" w14:textId="09D04739" w:rsidR="00621A31" w:rsidRPr="00621A31" w:rsidRDefault="00621A31" w:rsidP="00621A31">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621A31">
        <w:rPr>
          <w:rFonts w:ascii="Segoe UI" w:eastAsia="Times New Roman" w:hAnsi="Segoe UI" w:cs="Segoe UI"/>
          <w:b/>
          <w:bCs/>
          <w:kern w:val="0"/>
          <w:sz w:val="36"/>
          <w:szCs w:val="36"/>
          <w:lang w:eastAsia="en-GB"/>
          <w14:ligatures w14:val="none"/>
        </w:rPr>
        <w:t>Access to expertise and routes in</w:t>
      </w:r>
    </w:p>
    <w:p w14:paraId="01A036F1"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Discussion</w:t>
      </w:r>
    </w:p>
    <w:p w14:paraId="7A686C2D" w14:textId="77777777" w:rsidR="00621A31" w:rsidRPr="00621A31" w:rsidRDefault="00621A31" w:rsidP="00621A31">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Schools often seek diagnosis when they are really seeking reassurance, strategies or confidence.</w:t>
      </w:r>
    </w:p>
    <w:p w14:paraId="130AF622" w14:textId="77777777" w:rsidR="00621A31" w:rsidRPr="00621A31" w:rsidRDefault="00621A31" w:rsidP="00621A31">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Awareness that schools do not always know what support exists, particularly across health and education.</w:t>
      </w:r>
    </w:p>
    <w:p w14:paraId="26913811" w14:textId="77777777" w:rsidR="00621A31" w:rsidRPr="00621A31" w:rsidRDefault="00621A31" w:rsidP="00621A31">
      <w:pPr>
        <w:numPr>
          <w:ilvl w:val="0"/>
          <w:numId w:val="11"/>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Parents’ increasing focus on diagnosis rather than help acknowledged.</w:t>
      </w:r>
    </w:p>
    <w:p w14:paraId="2C20A31E"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Key responses / consensus</w:t>
      </w:r>
    </w:p>
    <w:p w14:paraId="7B1E7F8D" w14:textId="77777777" w:rsidR="00621A31" w:rsidRPr="00621A31" w:rsidRDefault="00621A31" w:rsidP="00621A31">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Clear pathways and </w:t>
      </w:r>
      <w:r w:rsidRPr="00621A31">
        <w:rPr>
          <w:rFonts w:ascii="Segoe UI" w:eastAsia="Times New Roman" w:hAnsi="Segoe UI" w:cs="Segoe UI"/>
          <w:b/>
          <w:bCs/>
          <w:kern w:val="0"/>
          <w:sz w:val="21"/>
          <w:szCs w:val="21"/>
          <w:lang w:eastAsia="en-GB"/>
          <w14:ligatures w14:val="none"/>
        </w:rPr>
        <w:t>maps of support</w:t>
      </w:r>
      <w:r w:rsidRPr="00621A31">
        <w:rPr>
          <w:rFonts w:ascii="Segoe UI" w:eastAsia="Times New Roman" w:hAnsi="Segoe UI" w:cs="Segoe UI"/>
          <w:kern w:val="0"/>
          <w:sz w:val="21"/>
          <w:szCs w:val="21"/>
          <w:lang w:eastAsia="en-GB"/>
          <w14:ligatures w14:val="none"/>
        </w:rPr>
        <w:t xml:space="preserve"> are essential.</w:t>
      </w:r>
    </w:p>
    <w:p w14:paraId="5C103344" w14:textId="77777777" w:rsidR="00621A31" w:rsidRPr="00621A31" w:rsidRDefault="00621A31" w:rsidP="00621A31">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Experts at Hand should provide </w:t>
      </w:r>
      <w:r w:rsidRPr="00621A31">
        <w:rPr>
          <w:rFonts w:ascii="Segoe UI" w:eastAsia="Times New Roman" w:hAnsi="Segoe UI" w:cs="Segoe UI"/>
          <w:b/>
          <w:bCs/>
          <w:kern w:val="0"/>
          <w:sz w:val="21"/>
          <w:szCs w:val="21"/>
          <w:lang w:eastAsia="en-GB"/>
          <w14:ligatures w14:val="none"/>
        </w:rPr>
        <w:t>triage, consultation and guidance</w:t>
      </w:r>
      <w:r w:rsidRPr="00621A31">
        <w:rPr>
          <w:rFonts w:ascii="Segoe UI" w:eastAsia="Times New Roman" w:hAnsi="Segoe UI" w:cs="Segoe UI"/>
          <w:kern w:val="0"/>
          <w:sz w:val="21"/>
          <w:szCs w:val="21"/>
          <w:lang w:eastAsia="en-GB"/>
          <w14:ligatures w14:val="none"/>
        </w:rPr>
        <w:t>, reducing unnecessary referrals.</w:t>
      </w:r>
    </w:p>
    <w:p w14:paraId="748B9908" w14:textId="77777777" w:rsidR="00621A31" w:rsidRPr="00621A31" w:rsidRDefault="00621A31" w:rsidP="00621A31">
      <w:pPr>
        <w:numPr>
          <w:ilvl w:val="0"/>
          <w:numId w:val="12"/>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Greater consistency of narrative across education, health and parent engagement is needed.</w:t>
      </w:r>
    </w:p>
    <w:p w14:paraId="2A7AC63D" w14:textId="11660C3C" w:rsidR="00621A31" w:rsidRPr="00621A31" w:rsidRDefault="00621A31" w:rsidP="00621A31">
      <w:pPr>
        <w:spacing w:after="0" w:line="300" w:lineRule="atLeast"/>
        <w:rPr>
          <w:rFonts w:ascii="Segoe UI" w:eastAsia="Times New Roman" w:hAnsi="Segoe UI" w:cs="Segoe UI"/>
          <w:kern w:val="0"/>
          <w:sz w:val="21"/>
          <w:szCs w:val="21"/>
          <w:lang w:eastAsia="en-GB"/>
          <w14:ligatures w14:val="none"/>
        </w:rPr>
      </w:pPr>
    </w:p>
    <w:p w14:paraId="4313CF3A" w14:textId="01CBC349" w:rsidR="00621A31" w:rsidRPr="00621A31" w:rsidRDefault="00621A31" w:rsidP="00621A31">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621A31">
        <w:rPr>
          <w:rFonts w:ascii="Segoe UI" w:eastAsia="Times New Roman" w:hAnsi="Segoe UI" w:cs="Segoe UI"/>
          <w:b/>
          <w:bCs/>
          <w:kern w:val="0"/>
          <w:sz w:val="36"/>
          <w:szCs w:val="36"/>
          <w:lang w:eastAsia="en-GB"/>
          <w14:ligatures w14:val="none"/>
        </w:rPr>
        <w:t>Equity, system fairness and small schools</w:t>
      </w:r>
    </w:p>
    <w:p w14:paraId="6A01BF55"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Discussion</w:t>
      </w:r>
    </w:p>
    <w:p w14:paraId="601602DC" w14:textId="77777777" w:rsidR="00621A31" w:rsidRPr="00621A31" w:rsidRDefault="00621A31" w:rsidP="00621A31">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Concerns raised that large trusts </w:t>
      </w:r>
      <w:proofErr w:type="gramStart"/>
      <w:r w:rsidRPr="00621A31">
        <w:rPr>
          <w:rFonts w:ascii="Segoe UI" w:eastAsia="Times New Roman" w:hAnsi="Segoe UI" w:cs="Segoe UI"/>
          <w:kern w:val="0"/>
          <w:sz w:val="21"/>
          <w:szCs w:val="21"/>
          <w:lang w:eastAsia="en-GB"/>
          <w14:ligatures w14:val="none"/>
        </w:rPr>
        <w:t>can</w:t>
      </w:r>
      <w:proofErr w:type="gramEnd"/>
      <w:r w:rsidRPr="00621A31">
        <w:rPr>
          <w:rFonts w:ascii="Segoe UI" w:eastAsia="Times New Roman" w:hAnsi="Segoe UI" w:cs="Segoe UI"/>
          <w:kern w:val="0"/>
          <w:sz w:val="21"/>
          <w:szCs w:val="21"/>
          <w:lang w:eastAsia="en-GB"/>
          <w14:ligatures w14:val="none"/>
        </w:rPr>
        <w:t xml:space="preserve"> pool funding and develop provision that smaller or standalone schools cannot.</w:t>
      </w:r>
    </w:p>
    <w:p w14:paraId="477889BD" w14:textId="77777777" w:rsidR="00621A31" w:rsidRPr="00621A31" w:rsidRDefault="00621A31" w:rsidP="00621A31">
      <w:pPr>
        <w:numPr>
          <w:ilvl w:val="0"/>
          <w:numId w:val="13"/>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Recognition of variation in access to expertise across localities and school types.</w:t>
      </w:r>
    </w:p>
    <w:p w14:paraId="7648ED00"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Key responses / consensus</w:t>
      </w:r>
    </w:p>
    <w:p w14:paraId="66B914EE" w14:textId="77777777" w:rsidR="00621A31" w:rsidRPr="00621A31" w:rsidRDefault="00621A31" w:rsidP="00621A31">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Strong support for </w:t>
      </w:r>
      <w:r w:rsidRPr="00621A31">
        <w:rPr>
          <w:rFonts w:ascii="Segoe UI" w:eastAsia="Times New Roman" w:hAnsi="Segoe UI" w:cs="Segoe UI"/>
          <w:b/>
          <w:bCs/>
          <w:kern w:val="0"/>
          <w:sz w:val="21"/>
          <w:szCs w:val="21"/>
          <w:lang w:eastAsia="en-GB"/>
          <w14:ligatures w14:val="none"/>
        </w:rPr>
        <w:t>neighbourhood</w:t>
      </w:r>
      <w:r w:rsidRPr="00621A31">
        <w:rPr>
          <w:rFonts w:ascii="Segoe UI" w:eastAsia="Times New Roman" w:hAnsi="Segoe UI" w:cs="Segoe UI"/>
          <w:b/>
          <w:bCs/>
          <w:kern w:val="0"/>
          <w:sz w:val="21"/>
          <w:szCs w:val="21"/>
          <w:lang w:eastAsia="en-GB"/>
          <w14:ligatures w14:val="none"/>
        </w:rPr>
        <w:noBreakHyphen/>
        <w:t>level solutions</w:t>
      </w:r>
      <w:r w:rsidRPr="00621A31">
        <w:rPr>
          <w:rFonts w:ascii="Segoe UI" w:eastAsia="Times New Roman" w:hAnsi="Segoe UI" w:cs="Segoe UI"/>
          <w:kern w:val="0"/>
          <w:sz w:val="21"/>
          <w:szCs w:val="21"/>
          <w:lang w:eastAsia="en-GB"/>
          <w14:ligatures w14:val="none"/>
        </w:rPr>
        <w:t xml:space="preserve"> that allow shared access to expertise.</w:t>
      </w:r>
    </w:p>
    <w:p w14:paraId="6564D915" w14:textId="77777777" w:rsidR="00621A31" w:rsidRPr="00621A31" w:rsidRDefault="00621A31" w:rsidP="00621A31">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Interest in pooling or aligning resources to reduce inequity, while recognising complexity.</w:t>
      </w:r>
    </w:p>
    <w:p w14:paraId="68E8E6AC" w14:textId="77777777" w:rsidR="00621A31" w:rsidRPr="00621A31" w:rsidRDefault="00621A31" w:rsidP="00621A31">
      <w:pPr>
        <w:numPr>
          <w:ilvl w:val="0"/>
          <w:numId w:val="14"/>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The Experts at Hand model seen as a potential leveller for smaller settings.</w:t>
      </w:r>
    </w:p>
    <w:p w14:paraId="23DE7A87" w14:textId="18A193CD" w:rsidR="00621A31" w:rsidRPr="00621A31" w:rsidRDefault="00621A31" w:rsidP="00621A31">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621A31">
        <w:rPr>
          <w:rFonts w:ascii="Segoe UI" w:eastAsia="Times New Roman" w:hAnsi="Segoe UI" w:cs="Segoe UI"/>
          <w:b/>
          <w:bCs/>
          <w:kern w:val="0"/>
          <w:sz w:val="36"/>
          <w:szCs w:val="36"/>
          <w:lang w:eastAsia="en-GB"/>
          <w14:ligatures w14:val="none"/>
        </w:rPr>
        <w:t>Funding context and sustainability</w:t>
      </w:r>
    </w:p>
    <w:p w14:paraId="290F4338"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Discussion</w:t>
      </w:r>
    </w:p>
    <w:p w14:paraId="49927B55" w14:textId="77777777" w:rsidR="00621A31" w:rsidRPr="00621A31" w:rsidRDefault="00621A31" w:rsidP="00621A31">
      <w:pPr>
        <w:numPr>
          <w:ilvl w:val="0"/>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Clarification that Experts at Hand funding is </w:t>
      </w:r>
      <w:r w:rsidRPr="00621A31">
        <w:rPr>
          <w:rFonts w:ascii="Segoe UI" w:eastAsia="Times New Roman" w:hAnsi="Segoe UI" w:cs="Segoe UI"/>
          <w:b/>
          <w:bCs/>
          <w:kern w:val="0"/>
          <w:sz w:val="21"/>
          <w:szCs w:val="21"/>
          <w:lang w:eastAsia="en-GB"/>
          <w14:ligatures w14:val="none"/>
        </w:rPr>
        <w:t>additional and time</w:t>
      </w:r>
      <w:r w:rsidRPr="00621A31">
        <w:rPr>
          <w:rFonts w:ascii="Segoe UI" w:eastAsia="Times New Roman" w:hAnsi="Segoe UI" w:cs="Segoe UI"/>
          <w:b/>
          <w:bCs/>
          <w:kern w:val="0"/>
          <w:sz w:val="21"/>
          <w:szCs w:val="21"/>
          <w:lang w:eastAsia="en-GB"/>
          <w14:ligatures w14:val="none"/>
        </w:rPr>
        <w:noBreakHyphen/>
        <w:t>limited (three years)</w:t>
      </w:r>
      <w:r w:rsidRPr="00621A31">
        <w:rPr>
          <w:rFonts w:ascii="Segoe UI" w:eastAsia="Times New Roman" w:hAnsi="Segoe UI" w:cs="Segoe UI"/>
          <w:kern w:val="0"/>
          <w:sz w:val="21"/>
          <w:szCs w:val="21"/>
          <w:lang w:eastAsia="en-GB"/>
          <w14:ligatures w14:val="none"/>
        </w:rPr>
        <w:t>.</w:t>
      </w:r>
    </w:p>
    <w:p w14:paraId="13924A5E" w14:textId="77777777" w:rsidR="00621A31" w:rsidRPr="00621A31" w:rsidRDefault="00621A31" w:rsidP="00621A31">
      <w:pPr>
        <w:numPr>
          <w:ilvl w:val="0"/>
          <w:numId w:val="15"/>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Questions about how it aligns with DSG and existing services.</w:t>
      </w:r>
    </w:p>
    <w:p w14:paraId="6E3BAD7F"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Key responses / consensus</w:t>
      </w:r>
    </w:p>
    <w:p w14:paraId="027BC791" w14:textId="77777777" w:rsidR="00621A31" w:rsidRPr="00621A31" w:rsidRDefault="00621A31" w:rsidP="00621A31">
      <w:pPr>
        <w:numPr>
          <w:ilvl w:val="0"/>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Clear need to design the model for </w:t>
      </w:r>
      <w:r w:rsidRPr="00621A31">
        <w:rPr>
          <w:rFonts w:ascii="Segoe UI" w:eastAsia="Times New Roman" w:hAnsi="Segoe UI" w:cs="Segoe UI"/>
          <w:b/>
          <w:bCs/>
          <w:kern w:val="0"/>
          <w:sz w:val="21"/>
          <w:szCs w:val="21"/>
          <w:lang w:eastAsia="en-GB"/>
          <w14:ligatures w14:val="none"/>
        </w:rPr>
        <w:t>sustainability beyond the funding window</w:t>
      </w:r>
      <w:r w:rsidRPr="00621A31">
        <w:rPr>
          <w:rFonts w:ascii="Segoe UI" w:eastAsia="Times New Roman" w:hAnsi="Segoe UI" w:cs="Segoe UI"/>
          <w:kern w:val="0"/>
          <w:sz w:val="21"/>
          <w:szCs w:val="21"/>
          <w:lang w:eastAsia="en-GB"/>
          <w14:ligatures w14:val="none"/>
        </w:rPr>
        <w:t>.</w:t>
      </w:r>
    </w:p>
    <w:p w14:paraId="61A3C4D7" w14:textId="77777777" w:rsidR="00621A31" w:rsidRPr="00621A31" w:rsidRDefault="00621A31" w:rsidP="00621A31">
      <w:pPr>
        <w:numPr>
          <w:ilvl w:val="0"/>
          <w:numId w:val="16"/>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Emphasis on building system capability and resilience rather than dependency on new money.</w:t>
      </w:r>
    </w:p>
    <w:p w14:paraId="79145570" w14:textId="7871CE33" w:rsidR="00621A31" w:rsidRPr="00621A31" w:rsidRDefault="00621A31" w:rsidP="00621A31">
      <w:pPr>
        <w:spacing w:before="100" w:beforeAutospacing="1" w:after="100" w:afterAutospacing="1" w:line="300" w:lineRule="atLeast"/>
        <w:outlineLvl w:val="1"/>
        <w:rPr>
          <w:rFonts w:ascii="Segoe UI" w:eastAsia="Times New Roman" w:hAnsi="Segoe UI" w:cs="Segoe UI"/>
          <w:b/>
          <w:bCs/>
          <w:kern w:val="0"/>
          <w:sz w:val="36"/>
          <w:szCs w:val="36"/>
          <w:lang w:eastAsia="en-GB"/>
          <w14:ligatures w14:val="none"/>
        </w:rPr>
      </w:pPr>
      <w:r w:rsidRPr="00621A31">
        <w:rPr>
          <w:rFonts w:ascii="Segoe UI" w:eastAsia="Times New Roman" w:hAnsi="Segoe UI" w:cs="Segoe UI"/>
          <w:b/>
          <w:bCs/>
          <w:kern w:val="0"/>
          <w:sz w:val="36"/>
          <w:szCs w:val="36"/>
          <w:lang w:eastAsia="en-GB"/>
          <w14:ligatures w14:val="none"/>
        </w:rPr>
        <w:t>Co</w:t>
      </w:r>
      <w:r w:rsidRPr="00621A31">
        <w:rPr>
          <w:rFonts w:ascii="Segoe UI" w:eastAsia="Times New Roman" w:hAnsi="Segoe UI" w:cs="Segoe UI"/>
          <w:b/>
          <w:bCs/>
          <w:kern w:val="0"/>
          <w:sz w:val="36"/>
          <w:szCs w:val="36"/>
          <w:lang w:eastAsia="en-GB"/>
          <w14:ligatures w14:val="none"/>
        </w:rPr>
        <w:noBreakHyphen/>
        <w:t>production and next steps</w:t>
      </w:r>
    </w:p>
    <w:p w14:paraId="1C1EA94B"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Discussion</w:t>
      </w:r>
    </w:p>
    <w:p w14:paraId="5F51629C" w14:textId="77777777" w:rsidR="00621A31" w:rsidRPr="00621A31" w:rsidRDefault="00621A31" w:rsidP="00621A31">
      <w:pPr>
        <w:numPr>
          <w:ilvl w:val="0"/>
          <w:numId w:val="1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Acknowledgement that </w:t>
      </w:r>
      <w:r w:rsidRPr="00621A31">
        <w:rPr>
          <w:rFonts w:ascii="Segoe UI" w:eastAsia="Times New Roman" w:hAnsi="Segoe UI" w:cs="Segoe UI"/>
          <w:b/>
          <w:bCs/>
          <w:kern w:val="0"/>
          <w:sz w:val="21"/>
          <w:szCs w:val="21"/>
          <w:lang w:eastAsia="en-GB"/>
          <w14:ligatures w14:val="none"/>
        </w:rPr>
        <w:t>school leaders, SENCOs and families</w:t>
      </w:r>
      <w:r w:rsidRPr="00621A31">
        <w:rPr>
          <w:rFonts w:ascii="Segoe UI" w:eastAsia="Times New Roman" w:hAnsi="Segoe UI" w:cs="Segoe UI"/>
          <w:kern w:val="0"/>
          <w:sz w:val="21"/>
          <w:szCs w:val="21"/>
          <w:lang w:eastAsia="en-GB"/>
          <w14:ligatures w14:val="none"/>
        </w:rPr>
        <w:t xml:space="preserve"> must be more strongly involved.</w:t>
      </w:r>
    </w:p>
    <w:p w14:paraId="5040D5A2" w14:textId="77777777" w:rsidR="00621A31" w:rsidRPr="00621A31" w:rsidRDefault="00621A31" w:rsidP="00621A31">
      <w:pPr>
        <w:numPr>
          <w:ilvl w:val="0"/>
          <w:numId w:val="17"/>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Recognition that current voices were weighted towards system and partnership leaders.</w:t>
      </w:r>
    </w:p>
    <w:p w14:paraId="62509552" w14:textId="77777777" w:rsidR="00621A31" w:rsidRPr="00621A31" w:rsidRDefault="00621A31" w:rsidP="00621A31">
      <w:p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b/>
          <w:bCs/>
          <w:kern w:val="0"/>
          <w:sz w:val="21"/>
          <w:szCs w:val="21"/>
          <w:lang w:eastAsia="en-GB"/>
          <w14:ligatures w14:val="none"/>
        </w:rPr>
        <w:t>Key responses / consensus</w:t>
      </w:r>
    </w:p>
    <w:p w14:paraId="487D5317" w14:textId="77777777" w:rsidR="00621A31" w:rsidRPr="00621A31" w:rsidRDefault="00621A31" w:rsidP="00621A31">
      <w:pPr>
        <w:numPr>
          <w:ilvl w:val="0"/>
          <w:numId w:val="1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Further engagement through surveys, SENCO networks, leadership forums and planned workshops.</w:t>
      </w:r>
    </w:p>
    <w:p w14:paraId="0AE96D34" w14:textId="77777777" w:rsidR="00621A31" w:rsidRPr="00621A31" w:rsidRDefault="00621A31" w:rsidP="00621A31">
      <w:pPr>
        <w:numPr>
          <w:ilvl w:val="0"/>
          <w:numId w:val="1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 xml:space="preserve">Agreement that the SEND Reform submission will set out </w:t>
      </w:r>
      <w:r w:rsidRPr="00621A31">
        <w:rPr>
          <w:rFonts w:ascii="Segoe UI" w:eastAsia="Times New Roman" w:hAnsi="Segoe UI" w:cs="Segoe UI"/>
          <w:b/>
          <w:bCs/>
          <w:kern w:val="0"/>
          <w:sz w:val="21"/>
          <w:szCs w:val="21"/>
          <w:lang w:eastAsia="en-GB"/>
          <w14:ligatures w14:val="none"/>
        </w:rPr>
        <w:t>intent, direction and phasing</w:t>
      </w:r>
      <w:r w:rsidRPr="00621A31">
        <w:rPr>
          <w:rFonts w:ascii="Segoe UI" w:eastAsia="Times New Roman" w:hAnsi="Segoe UI" w:cs="Segoe UI"/>
          <w:kern w:val="0"/>
          <w:sz w:val="21"/>
          <w:szCs w:val="21"/>
          <w:lang w:eastAsia="en-GB"/>
          <w14:ligatures w14:val="none"/>
        </w:rPr>
        <w:t>, not a finished model.</w:t>
      </w:r>
    </w:p>
    <w:p w14:paraId="380F212F" w14:textId="77777777" w:rsidR="00621A31" w:rsidRPr="00621A31" w:rsidRDefault="00621A31" w:rsidP="00621A31">
      <w:pPr>
        <w:numPr>
          <w:ilvl w:val="0"/>
          <w:numId w:val="18"/>
        </w:numPr>
        <w:spacing w:before="100" w:beforeAutospacing="1" w:after="100" w:afterAutospacing="1" w:line="300" w:lineRule="atLeast"/>
        <w:rPr>
          <w:rFonts w:ascii="Segoe UI" w:eastAsia="Times New Roman" w:hAnsi="Segoe UI" w:cs="Segoe UI"/>
          <w:kern w:val="0"/>
          <w:sz w:val="21"/>
          <w:szCs w:val="21"/>
          <w:lang w:eastAsia="en-GB"/>
          <w14:ligatures w14:val="none"/>
        </w:rPr>
      </w:pPr>
      <w:r w:rsidRPr="00621A31">
        <w:rPr>
          <w:rFonts w:ascii="Segoe UI" w:eastAsia="Times New Roman" w:hAnsi="Segoe UI" w:cs="Segoe UI"/>
          <w:kern w:val="0"/>
          <w:sz w:val="21"/>
          <w:szCs w:val="21"/>
          <w:lang w:eastAsia="en-GB"/>
          <w14:ligatures w14:val="none"/>
        </w:rPr>
        <w:t>Experts at Hand design to continue iteratively post</w:t>
      </w:r>
      <w:r w:rsidRPr="00621A31">
        <w:rPr>
          <w:rFonts w:ascii="Segoe UI" w:eastAsia="Times New Roman" w:hAnsi="Segoe UI" w:cs="Segoe UI"/>
          <w:kern w:val="0"/>
          <w:sz w:val="21"/>
          <w:szCs w:val="21"/>
          <w:lang w:eastAsia="en-GB"/>
          <w14:ligatures w14:val="none"/>
        </w:rPr>
        <w:noBreakHyphen/>
        <w:t>submission.</w:t>
      </w:r>
    </w:p>
    <w:p w14:paraId="7B6AC3A1" w14:textId="77777777" w:rsidR="002B723C" w:rsidRDefault="002B723C" w:rsidP="00B22B14">
      <w:pPr>
        <w:spacing w:after="0" w:line="240" w:lineRule="auto"/>
        <w:rPr>
          <w:rFonts w:ascii="Times New Roman" w:eastAsia="Times New Roman" w:hAnsi="Times New Roman" w:cs="Times New Roman"/>
          <w:kern w:val="0"/>
          <w:sz w:val="24"/>
          <w:szCs w:val="24"/>
          <w:lang w:eastAsia="en-GB"/>
          <w14:ligatures w14:val="none"/>
        </w:rPr>
      </w:pPr>
    </w:p>
    <w:p w14:paraId="2D739266" w14:textId="77777777" w:rsidR="002B723C" w:rsidRPr="00B22B14" w:rsidRDefault="002B723C" w:rsidP="00B22B14">
      <w:pPr>
        <w:spacing w:after="0" w:line="240" w:lineRule="auto"/>
        <w:rPr>
          <w:rFonts w:ascii="Times New Roman" w:eastAsia="Times New Roman" w:hAnsi="Times New Roman" w:cs="Times New Roman"/>
          <w:kern w:val="0"/>
          <w:sz w:val="24"/>
          <w:szCs w:val="24"/>
          <w:lang w:eastAsia="en-GB"/>
          <w14:ligatures w14:val="none"/>
        </w:rPr>
      </w:pPr>
    </w:p>
    <w:p w14:paraId="1C6315F1" w14:textId="177DA785" w:rsidR="00B22B14" w:rsidRPr="00553AAE" w:rsidRDefault="00B22B14" w:rsidP="00553AAE">
      <w:pPr>
        <w:spacing w:after="0" w:line="240" w:lineRule="auto"/>
        <w:jc w:val="center"/>
        <w:rPr>
          <w:rFonts w:ascii="Times New Roman" w:eastAsia="Times New Roman" w:hAnsi="Times New Roman" w:cs="Times New Roman"/>
          <w:b/>
          <w:bCs/>
          <w:kern w:val="0"/>
          <w:sz w:val="36"/>
          <w:szCs w:val="36"/>
          <w:lang w:eastAsia="en-GB"/>
          <w14:ligatures w14:val="none"/>
        </w:rPr>
      </w:pPr>
      <w:r w:rsidRPr="00553AAE">
        <w:rPr>
          <w:rFonts w:ascii="Times New Roman" w:eastAsia="Times New Roman" w:hAnsi="Times New Roman" w:cs="Times New Roman"/>
          <w:b/>
          <w:bCs/>
          <w:kern w:val="0"/>
          <w:sz w:val="36"/>
          <w:szCs w:val="36"/>
          <w:lang w:eastAsia="en-GB"/>
          <w14:ligatures w14:val="none"/>
        </w:rPr>
        <w:t>Meeting notes:</w:t>
      </w:r>
    </w:p>
    <w:p w14:paraId="204D843D" w14:textId="6798E317" w:rsidR="00B22B14" w:rsidRPr="00B22B14" w:rsidRDefault="00B22B14" w:rsidP="00B22B1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SEND Reform Planning and Experts at Hand Model: </w:t>
      </w:r>
      <w:r w:rsidRPr="00B22B14">
        <w:rPr>
          <w:rFonts w:ascii="Times New Roman" w:eastAsia="Times New Roman" w:hAnsi="Times New Roman" w:cs="Times New Roman"/>
          <w:kern w:val="0"/>
          <w:sz w:val="24"/>
          <w:szCs w:val="24"/>
          <w:lang w:eastAsia="en-GB"/>
          <w14:ligatures w14:val="none"/>
        </w:rPr>
        <w:t xml:space="preserve">Jennifer Blunden, Rachel </w:t>
      </w:r>
      <w:r w:rsidR="002B723C">
        <w:rPr>
          <w:rFonts w:ascii="Times New Roman" w:eastAsia="Times New Roman" w:hAnsi="Times New Roman" w:cs="Times New Roman"/>
          <w:kern w:val="0"/>
          <w:sz w:val="24"/>
          <w:szCs w:val="24"/>
          <w:lang w:eastAsia="en-GB"/>
          <w14:ligatures w14:val="none"/>
        </w:rPr>
        <w:t>Delourme</w:t>
      </w:r>
      <w:r w:rsidRPr="00B22B14">
        <w:rPr>
          <w:rFonts w:ascii="Times New Roman" w:eastAsia="Times New Roman" w:hAnsi="Times New Roman" w:cs="Times New Roman"/>
          <w:kern w:val="0"/>
          <w:sz w:val="24"/>
          <w:szCs w:val="24"/>
          <w:lang w:eastAsia="en-GB"/>
          <w14:ligatures w14:val="none"/>
        </w:rPr>
        <w:t xml:space="preserve">, Matt </w:t>
      </w:r>
      <w:r w:rsidR="002B723C">
        <w:rPr>
          <w:rFonts w:ascii="Times New Roman" w:eastAsia="Times New Roman" w:hAnsi="Times New Roman" w:cs="Times New Roman"/>
          <w:kern w:val="0"/>
          <w:sz w:val="24"/>
          <w:szCs w:val="24"/>
          <w:lang w:eastAsia="en-GB"/>
          <w14:ligatures w14:val="none"/>
        </w:rPr>
        <w:t>Middlemore</w:t>
      </w:r>
      <w:r w:rsidRPr="00B22B14">
        <w:rPr>
          <w:rFonts w:ascii="Times New Roman" w:eastAsia="Times New Roman" w:hAnsi="Times New Roman" w:cs="Times New Roman"/>
          <w:kern w:val="0"/>
          <w:sz w:val="24"/>
          <w:szCs w:val="24"/>
          <w:lang w:eastAsia="en-GB"/>
          <w14:ligatures w14:val="none"/>
        </w:rPr>
        <w:t>, and other stakeholders discussed the ongoing SEND reform planning in Cornwall, focusing on the development and implementation of the 'Experts at Hand' model to ensure equitable, effective support for children and young people across educational settings, with input from local authority, health, and school leaders.</w:t>
      </w:r>
    </w:p>
    <w:p w14:paraId="58D6D66D" w14:textId="2A81E76D"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SEND Reform Overview: </w:t>
      </w:r>
      <w:r w:rsidRPr="00B22B14">
        <w:rPr>
          <w:rFonts w:ascii="Times New Roman" w:eastAsia="Times New Roman" w:hAnsi="Times New Roman" w:cs="Times New Roman"/>
          <w:kern w:val="0"/>
          <w:sz w:val="24"/>
          <w:szCs w:val="24"/>
          <w:lang w:eastAsia="en-GB"/>
          <w14:ligatures w14:val="none"/>
        </w:rPr>
        <w:t xml:space="preserve">Jennifer Blunden and Rachel </w:t>
      </w:r>
      <w:r w:rsidR="002B723C">
        <w:rPr>
          <w:rFonts w:ascii="Times New Roman" w:eastAsia="Times New Roman" w:hAnsi="Times New Roman" w:cs="Times New Roman"/>
          <w:kern w:val="0"/>
          <w:sz w:val="24"/>
          <w:szCs w:val="24"/>
          <w:lang w:eastAsia="en-GB"/>
          <w14:ligatures w14:val="none"/>
        </w:rPr>
        <w:t>Delourme</w:t>
      </w:r>
      <w:r w:rsidRPr="00B22B14">
        <w:rPr>
          <w:rFonts w:ascii="Times New Roman" w:eastAsia="Times New Roman" w:hAnsi="Times New Roman" w:cs="Times New Roman"/>
          <w:kern w:val="0"/>
          <w:sz w:val="24"/>
          <w:szCs w:val="24"/>
          <w:lang w:eastAsia="en-GB"/>
          <w14:ligatures w14:val="none"/>
        </w:rPr>
        <w:t xml:space="preserve"> outlined the purpose of the meeting as shaping the SEND reform plan, with a particular focus on the 'Experts at Hand' model, which aims to provide universal and targeted support across Cornwall's diverse educational landscape. The reform is intended to integrate education, health, and social care, ensuring that all children have access to the expertise they need.</w:t>
      </w:r>
    </w:p>
    <w:p w14:paraId="44ECEB44" w14:textId="4839A8D0"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Centres of Excellence and Workstreams: </w:t>
      </w:r>
      <w:r w:rsidRPr="00B22B14">
        <w:rPr>
          <w:rFonts w:ascii="Times New Roman" w:eastAsia="Times New Roman" w:hAnsi="Times New Roman" w:cs="Times New Roman"/>
          <w:kern w:val="0"/>
          <w:sz w:val="24"/>
          <w:szCs w:val="24"/>
          <w:lang w:eastAsia="en-GB"/>
          <w14:ligatures w14:val="none"/>
        </w:rPr>
        <w:t xml:space="preserve">Rachel </w:t>
      </w:r>
      <w:r w:rsidR="00621A31">
        <w:rPr>
          <w:rFonts w:ascii="Times New Roman" w:eastAsia="Times New Roman" w:hAnsi="Times New Roman" w:cs="Times New Roman"/>
          <w:kern w:val="0"/>
          <w:sz w:val="24"/>
          <w:szCs w:val="24"/>
          <w:lang w:eastAsia="en-GB"/>
          <w14:ligatures w14:val="none"/>
        </w:rPr>
        <w:t>Delourme</w:t>
      </w:r>
      <w:r w:rsidRPr="00B22B14">
        <w:rPr>
          <w:rFonts w:ascii="Times New Roman" w:eastAsia="Times New Roman" w:hAnsi="Times New Roman" w:cs="Times New Roman"/>
          <w:kern w:val="0"/>
          <w:sz w:val="24"/>
          <w:szCs w:val="24"/>
          <w:lang w:eastAsia="en-GB"/>
          <w14:ligatures w14:val="none"/>
        </w:rPr>
        <w:t xml:space="preserve"> recapped the SEND Centres of Excellence work, which provided a foundation for the reform planning. Four main initiatives were highlighted: agreeing the ordinary available provision offer, piloting mid-Cornwall sufficiency planning, developing the Inclusion Charter, and establishing peer partnerships with the NHS. These workstreams are now converging into a unified SEND reform plan.</w:t>
      </w:r>
    </w:p>
    <w:p w14:paraId="500A571C"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Integrated Care System and Locality Mapping: </w:t>
      </w:r>
      <w:r w:rsidRPr="00B22B14">
        <w:rPr>
          <w:rFonts w:ascii="Times New Roman" w:eastAsia="Times New Roman" w:hAnsi="Times New Roman" w:cs="Times New Roman"/>
          <w:kern w:val="0"/>
          <w:sz w:val="24"/>
          <w:szCs w:val="24"/>
          <w:lang w:eastAsia="en-GB"/>
          <w14:ligatures w14:val="none"/>
        </w:rPr>
        <w:t>The group discussed the importance of the integrated care system, which spans education, NHS, and social care, and the need to map how various neighbourhoods, family hubs, and localities interact to support schools. The aim is to ensure that support is based on need rather than the most vocal stakeholders, and that expertise is commissioned appropriately.</w:t>
      </w:r>
    </w:p>
    <w:p w14:paraId="37BCAAFC" w14:textId="2469558C"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Equitable Access and Delivery Model: </w:t>
      </w:r>
      <w:r w:rsidRPr="00B22B14">
        <w:rPr>
          <w:rFonts w:ascii="Times New Roman" w:eastAsia="Times New Roman" w:hAnsi="Times New Roman" w:cs="Times New Roman"/>
          <w:kern w:val="0"/>
          <w:sz w:val="24"/>
          <w:szCs w:val="24"/>
          <w:lang w:eastAsia="en-GB"/>
          <w14:ligatures w14:val="none"/>
        </w:rPr>
        <w:t xml:space="preserve">Rachel </w:t>
      </w:r>
      <w:r w:rsidR="00DF0392">
        <w:rPr>
          <w:rFonts w:ascii="Times New Roman" w:eastAsia="Times New Roman" w:hAnsi="Times New Roman" w:cs="Times New Roman"/>
          <w:kern w:val="0"/>
          <w:sz w:val="24"/>
          <w:szCs w:val="24"/>
          <w:lang w:eastAsia="en-GB"/>
          <w14:ligatures w14:val="none"/>
        </w:rPr>
        <w:t>Delourme</w:t>
      </w:r>
      <w:r w:rsidRPr="00B22B14">
        <w:rPr>
          <w:rFonts w:ascii="Times New Roman" w:eastAsia="Times New Roman" w:hAnsi="Times New Roman" w:cs="Times New Roman"/>
          <w:kern w:val="0"/>
          <w:sz w:val="24"/>
          <w:szCs w:val="24"/>
          <w:lang w:eastAsia="en-GB"/>
          <w14:ligatures w14:val="none"/>
        </w:rPr>
        <w:t xml:space="preserve"> emphasised the need for a clear delivery model for Experts at Hand, including robust governance, quality assurance, and evidence-based decision-making. The model should strengthen universal and targeted support, focusing on prevention and early intervention, and ensure fair access across all settings.</w:t>
      </w:r>
    </w:p>
    <w:p w14:paraId="5BF848E8"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Stakeholder Engagement and Next Steps: </w:t>
      </w:r>
      <w:r w:rsidRPr="00B22B14">
        <w:rPr>
          <w:rFonts w:ascii="Times New Roman" w:eastAsia="Times New Roman" w:hAnsi="Times New Roman" w:cs="Times New Roman"/>
          <w:kern w:val="0"/>
          <w:sz w:val="24"/>
          <w:szCs w:val="24"/>
          <w:lang w:eastAsia="en-GB"/>
          <w14:ligatures w14:val="none"/>
        </w:rPr>
        <w:t>Jennifer Blunden and Matt Millward stressed the importance of involving school leaders, SENCOs, and families in the planning process to ensure the model meets real needs. Actions include gathering wider input through workshops, surveys, and ongoing engagement, with a plan to submit intentions by 15 May and continue iterative development beyond that date.</w:t>
      </w:r>
    </w:p>
    <w:p w14:paraId="5F11D16F" w14:textId="77777777" w:rsidR="00B22B14" w:rsidRPr="00B22B14" w:rsidRDefault="00B22B14" w:rsidP="00B22B1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Neighbourhood Health Networks and Multi-Agency Collaboration: </w:t>
      </w:r>
      <w:r w:rsidRPr="00B22B14">
        <w:rPr>
          <w:rFonts w:ascii="Times New Roman" w:eastAsia="Times New Roman" w:hAnsi="Times New Roman" w:cs="Times New Roman"/>
          <w:kern w:val="0"/>
          <w:sz w:val="24"/>
          <w:szCs w:val="24"/>
          <w:lang w:eastAsia="en-GB"/>
          <w14:ligatures w14:val="none"/>
        </w:rPr>
        <w:t>Rochelle Bones and other participants described the structure of neighbourhood health networks in Cornwall and the Isles of Scilly, highlighting the need to align education, health, and social care boundaries and offers to support SEND reform and the Experts at Hand model.</w:t>
      </w:r>
    </w:p>
    <w:p w14:paraId="499C7168"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Neighbourhood Structure: </w:t>
      </w:r>
      <w:r w:rsidRPr="00B22B14">
        <w:rPr>
          <w:rFonts w:ascii="Times New Roman" w:eastAsia="Times New Roman" w:hAnsi="Times New Roman" w:cs="Times New Roman"/>
          <w:kern w:val="0"/>
          <w:sz w:val="24"/>
          <w:szCs w:val="24"/>
          <w:lang w:eastAsia="en-GB"/>
          <w14:ligatures w14:val="none"/>
        </w:rPr>
        <w:t>Rochelle Bones explained that Cornwall is divided into integrated care areas (East, Mid, West), further broken down into six core localities and 16 primary care networks, including the Isles of Scilly. This structure is used to organise health provision and is being considered for mapping education and social care reforms.</w:t>
      </w:r>
    </w:p>
    <w:p w14:paraId="11B773B5"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lastRenderedPageBreak/>
        <w:t xml:space="preserve">Alignment Challenges: </w:t>
      </w:r>
      <w:r w:rsidRPr="00B22B14">
        <w:rPr>
          <w:rFonts w:ascii="Times New Roman" w:eastAsia="Times New Roman" w:hAnsi="Times New Roman" w:cs="Times New Roman"/>
          <w:kern w:val="0"/>
          <w:sz w:val="24"/>
          <w:szCs w:val="24"/>
          <w:lang w:eastAsia="en-GB"/>
          <w14:ligatures w14:val="none"/>
        </w:rPr>
        <w:t>The group discussed the challenge of aligning different service boundaries (education, health, social care) and the need to map offers across these boundaries. The integrated neighbourhood team model, which operates at a different scale, was identified as an outlier, requiring negotiation and agreement on how best to coordinate services.</w:t>
      </w:r>
    </w:p>
    <w:p w14:paraId="45DEA0D3"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Framework Development: </w:t>
      </w:r>
      <w:r w:rsidRPr="00B22B14">
        <w:rPr>
          <w:rFonts w:ascii="Times New Roman" w:eastAsia="Times New Roman" w:hAnsi="Times New Roman" w:cs="Times New Roman"/>
          <w:kern w:val="0"/>
          <w:sz w:val="24"/>
          <w:szCs w:val="24"/>
          <w:lang w:eastAsia="en-GB"/>
          <w14:ligatures w14:val="none"/>
        </w:rPr>
        <w:t>A health-focused framework for integrated neighbourhood teams has been developed, with plans for a strategic multi-agency document to overlay broader reforms. This will include existing frameworks and initiatives to avoid duplication and ensure cohesive delivery.</w:t>
      </w:r>
    </w:p>
    <w:p w14:paraId="08CC8FBA" w14:textId="77777777" w:rsidR="00B22B14" w:rsidRPr="00B22B14" w:rsidRDefault="00B22B14" w:rsidP="00B22B1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Educational Psychologists and Workforce Development: </w:t>
      </w:r>
      <w:r w:rsidRPr="00B22B14">
        <w:rPr>
          <w:rFonts w:ascii="Times New Roman" w:eastAsia="Times New Roman" w:hAnsi="Times New Roman" w:cs="Times New Roman"/>
          <w:kern w:val="0"/>
          <w:sz w:val="24"/>
          <w:szCs w:val="24"/>
          <w:lang w:eastAsia="en-GB"/>
          <w14:ligatures w14:val="none"/>
        </w:rPr>
        <w:t>Hannah Fugill, Jennifer Blunden, and others discussed the evolving role of educational psychologists (EPs) within the Experts at Hand model, focusing on shifting from individual casework to community and cohort-based support, workforce challenges, and sustainable models for advice and CPD.</w:t>
      </w:r>
    </w:p>
    <w:p w14:paraId="2AB29A94"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Role of Educational Psychologists: </w:t>
      </w:r>
      <w:r w:rsidRPr="00B22B14">
        <w:rPr>
          <w:rFonts w:ascii="Times New Roman" w:eastAsia="Times New Roman" w:hAnsi="Times New Roman" w:cs="Times New Roman"/>
          <w:kern w:val="0"/>
          <w:sz w:val="24"/>
          <w:szCs w:val="24"/>
          <w:lang w:eastAsia="en-GB"/>
          <w14:ligatures w14:val="none"/>
        </w:rPr>
        <w:t>Hannah Fugill described how EPs are moving towards supporting communities of schools by offering strategic advice, guidance, and planning for emerging needs, rather than focusing solely on individual cases. The aim is to build local capacity and resilience.</w:t>
      </w:r>
    </w:p>
    <w:p w14:paraId="20E0E899"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Mixed Economy of Skills: </w:t>
      </w:r>
      <w:r w:rsidRPr="00B22B14">
        <w:rPr>
          <w:rFonts w:ascii="Times New Roman" w:eastAsia="Times New Roman" w:hAnsi="Times New Roman" w:cs="Times New Roman"/>
          <w:kern w:val="0"/>
          <w:sz w:val="24"/>
          <w:szCs w:val="24"/>
          <w:lang w:eastAsia="en-GB"/>
          <w14:ligatures w14:val="none"/>
        </w:rPr>
        <w:t>The group considered whether all advice and CPD must be delivered by fully qualified EPs or if a mixed economy, including assistants and trainees, could be used. This approach could help address workforce shortages and ensure more widespread support.</w:t>
      </w:r>
    </w:p>
    <w:p w14:paraId="6F47FE56"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Sustainability and Resilience: </w:t>
      </w:r>
      <w:r w:rsidRPr="00B22B14">
        <w:rPr>
          <w:rFonts w:ascii="Times New Roman" w:eastAsia="Times New Roman" w:hAnsi="Times New Roman" w:cs="Times New Roman"/>
          <w:kern w:val="0"/>
          <w:sz w:val="24"/>
          <w:szCs w:val="24"/>
          <w:lang w:eastAsia="en-GB"/>
          <w14:ligatures w14:val="none"/>
        </w:rPr>
        <w:t>Jennifer Blunden emphasised the importance of embedding advice and CPD within a structured framework to ensure sustainability. The goal is to create a self-sustaining system where schools can learn from each other and access support without over-reliance on external experts.</w:t>
      </w:r>
    </w:p>
    <w:p w14:paraId="37F51165"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MELSA Model: </w:t>
      </w:r>
      <w:r w:rsidRPr="00B22B14">
        <w:rPr>
          <w:rFonts w:ascii="Times New Roman" w:eastAsia="Times New Roman" w:hAnsi="Times New Roman" w:cs="Times New Roman"/>
          <w:kern w:val="0"/>
          <w:sz w:val="24"/>
          <w:szCs w:val="24"/>
          <w:lang w:eastAsia="en-GB"/>
          <w14:ligatures w14:val="none"/>
        </w:rPr>
        <w:t>Hannah Fugill shared the MELSA (Mediated Learning Support Assistance) model, which involves cohort-based training and coaching to build capacity within local communities. While uptake has been limited due to cost and logistics, the model supports ongoing peer learning and sustainability.</w:t>
      </w:r>
    </w:p>
    <w:p w14:paraId="4FA915C0" w14:textId="77777777" w:rsidR="00B22B14" w:rsidRPr="00B22B14" w:rsidRDefault="00B22B14" w:rsidP="00B22B1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Funding Mechanisms and Equitable Resource Allocation: </w:t>
      </w:r>
      <w:r w:rsidRPr="00B22B14">
        <w:rPr>
          <w:rFonts w:ascii="Times New Roman" w:eastAsia="Times New Roman" w:hAnsi="Times New Roman" w:cs="Times New Roman"/>
          <w:kern w:val="0"/>
          <w:sz w:val="24"/>
          <w:szCs w:val="24"/>
          <w:lang w:eastAsia="en-GB"/>
          <w14:ligatures w14:val="none"/>
        </w:rPr>
        <w:t>Kate Littledyke, Rachel Blom, Matt Millward, and others explored funding mechanisms for SEND support, including the use of element 3 funding, pooling resources across schools or neighbourhoods, and ensuring smaller schools and trusts have equitable access to expertise and provision.</w:t>
      </w:r>
    </w:p>
    <w:p w14:paraId="24B43A39" w14:textId="400593DD"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Element 3 Funding: </w:t>
      </w:r>
      <w:r w:rsidRPr="00B22B14">
        <w:rPr>
          <w:rFonts w:ascii="Times New Roman" w:eastAsia="Times New Roman" w:hAnsi="Times New Roman" w:cs="Times New Roman"/>
          <w:kern w:val="0"/>
          <w:sz w:val="24"/>
          <w:szCs w:val="24"/>
          <w:lang w:eastAsia="en-GB"/>
          <w14:ligatures w14:val="none"/>
        </w:rPr>
        <w:t xml:space="preserve">Rachel </w:t>
      </w:r>
      <w:r w:rsidR="00DF0392">
        <w:rPr>
          <w:rFonts w:ascii="Times New Roman" w:eastAsia="Times New Roman" w:hAnsi="Times New Roman" w:cs="Times New Roman"/>
          <w:kern w:val="0"/>
          <w:sz w:val="24"/>
          <w:szCs w:val="24"/>
          <w:lang w:eastAsia="en-GB"/>
          <w14:ligatures w14:val="none"/>
        </w:rPr>
        <w:t>Delourme</w:t>
      </w:r>
      <w:r w:rsidRPr="00B22B14">
        <w:rPr>
          <w:rFonts w:ascii="Times New Roman" w:eastAsia="Times New Roman" w:hAnsi="Times New Roman" w:cs="Times New Roman"/>
          <w:kern w:val="0"/>
          <w:sz w:val="24"/>
          <w:szCs w:val="24"/>
          <w:lang w:eastAsia="en-GB"/>
          <w14:ligatures w14:val="none"/>
        </w:rPr>
        <w:t xml:space="preserve"> and Matt </w:t>
      </w:r>
      <w:r w:rsidR="00DF0392">
        <w:rPr>
          <w:rFonts w:ascii="Times New Roman" w:eastAsia="Times New Roman" w:hAnsi="Times New Roman" w:cs="Times New Roman"/>
          <w:kern w:val="0"/>
          <w:sz w:val="24"/>
          <w:szCs w:val="24"/>
          <w:lang w:eastAsia="en-GB"/>
          <w14:ligatures w14:val="none"/>
        </w:rPr>
        <w:t>Middlemore</w:t>
      </w:r>
      <w:r w:rsidRPr="00B22B14">
        <w:rPr>
          <w:rFonts w:ascii="Times New Roman" w:eastAsia="Times New Roman" w:hAnsi="Times New Roman" w:cs="Times New Roman"/>
          <w:kern w:val="0"/>
          <w:sz w:val="24"/>
          <w:szCs w:val="24"/>
          <w:lang w:eastAsia="en-GB"/>
          <w14:ligatures w14:val="none"/>
        </w:rPr>
        <w:t xml:space="preserve"> discussed how element 3 funding, attached to children with EHCPs, can be pooled to create systemic support for predictable needs, such as training packages and inclusion classrooms. This approach has been piloted in larger trusts and cross-county collaborations.</w:t>
      </w:r>
    </w:p>
    <w:p w14:paraId="312A5D85"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Challenges for Small Schools: </w:t>
      </w:r>
      <w:r w:rsidRPr="00B22B14">
        <w:rPr>
          <w:rFonts w:ascii="Times New Roman" w:eastAsia="Times New Roman" w:hAnsi="Times New Roman" w:cs="Times New Roman"/>
          <w:kern w:val="0"/>
          <w:sz w:val="24"/>
          <w:szCs w:val="24"/>
          <w:lang w:eastAsia="en-GB"/>
          <w14:ligatures w14:val="none"/>
        </w:rPr>
        <w:t>Kate Littledyke raised concerns about smaller schools and standalone academies lacking the resources to pool funding and access the same level of support as larger trusts. The group considered mechanisms to enable equitable access, such as neighbourhood-level funding pots.</w:t>
      </w:r>
    </w:p>
    <w:p w14:paraId="415295BA" w14:textId="316C3CA4"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High Needs Protection and Neighbourhood Pots: </w:t>
      </w:r>
      <w:r w:rsidRPr="00B22B14">
        <w:rPr>
          <w:rFonts w:ascii="Times New Roman" w:eastAsia="Times New Roman" w:hAnsi="Times New Roman" w:cs="Times New Roman"/>
          <w:kern w:val="0"/>
          <w:sz w:val="24"/>
          <w:szCs w:val="24"/>
          <w:lang w:eastAsia="en-GB"/>
          <w14:ligatures w14:val="none"/>
        </w:rPr>
        <w:t xml:space="preserve">Rachel </w:t>
      </w:r>
      <w:r w:rsidR="00DF0392">
        <w:rPr>
          <w:rFonts w:ascii="Times New Roman" w:eastAsia="Times New Roman" w:hAnsi="Times New Roman" w:cs="Times New Roman"/>
          <w:kern w:val="0"/>
          <w:sz w:val="24"/>
          <w:szCs w:val="24"/>
          <w:lang w:eastAsia="en-GB"/>
          <w14:ligatures w14:val="none"/>
        </w:rPr>
        <w:t>Delourme</w:t>
      </w:r>
      <w:r w:rsidRPr="00B22B14">
        <w:rPr>
          <w:rFonts w:ascii="Times New Roman" w:eastAsia="Times New Roman" w:hAnsi="Times New Roman" w:cs="Times New Roman"/>
          <w:kern w:val="0"/>
          <w:sz w:val="24"/>
          <w:szCs w:val="24"/>
          <w:lang w:eastAsia="en-GB"/>
          <w14:ligatures w14:val="none"/>
        </w:rPr>
        <w:t xml:space="preserve"> explained that high needs protection funding, typically distributed to schools with higher numbers of SEND pupils, could instead be allocated to </w:t>
      </w:r>
      <w:r w:rsidRPr="00B22B14">
        <w:rPr>
          <w:rFonts w:ascii="Times New Roman" w:eastAsia="Times New Roman" w:hAnsi="Times New Roman" w:cs="Times New Roman"/>
          <w:kern w:val="0"/>
          <w:sz w:val="24"/>
          <w:szCs w:val="24"/>
          <w:lang w:eastAsia="en-GB"/>
          <w14:ligatures w14:val="none"/>
        </w:rPr>
        <w:lastRenderedPageBreak/>
        <w:t>neighbourhoods, allowing for more flexible and equitable resource allocation based on local needs.</w:t>
      </w:r>
    </w:p>
    <w:p w14:paraId="1846D551" w14:textId="77777777" w:rsidR="00B22B14" w:rsidRPr="00B22B14" w:rsidRDefault="00B22B14" w:rsidP="00B22B1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Breakout Group Feedback on Experts at Hand Implementation: </w:t>
      </w:r>
      <w:r w:rsidRPr="00B22B14">
        <w:rPr>
          <w:rFonts w:ascii="Times New Roman" w:eastAsia="Times New Roman" w:hAnsi="Times New Roman" w:cs="Times New Roman"/>
          <w:kern w:val="0"/>
          <w:sz w:val="24"/>
          <w:szCs w:val="24"/>
          <w:lang w:eastAsia="en-GB"/>
          <w14:ligatures w14:val="none"/>
        </w:rPr>
        <w:t>Jennifer Blunden, Nick Millward, Rochelle Bones, and others reported back from breakout groups on key questions regarding the Experts at Hand model, including needs best served by the model, AP and special school involvement, decision-making boundaries, and the importance of clear definitions and inclusive processes.</w:t>
      </w:r>
    </w:p>
    <w:p w14:paraId="7072489C"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Needs Best Served by Experts at Hand: </w:t>
      </w:r>
      <w:r w:rsidRPr="00B22B14">
        <w:rPr>
          <w:rFonts w:ascii="Times New Roman" w:eastAsia="Times New Roman" w:hAnsi="Times New Roman" w:cs="Times New Roman"/>
          <w:kern w:val="0"/>
          <w:sz w:val="24"/>
          <w:szCs w:val="24"/>
          <w:lang w:eastAsia="en-GB"/>
          <w14:ligatures w14:val="none"/>
        </w:rPr>
        <w:t>Group one, led by Jennifer Blunden, concluded that the model should focus on community and cohort needs rather than individual cases, supporting strong ordinarily available provision and addressing areas like neurodiversity and mental health.</w:t>
      </w:r>
    </w:p>
    <w:p w14:paraId="6B586DBF"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AP and Special School Involvement: </w:t>
      </w:r>
      <w:r w:rsidRPr="00B22B14">
        <w:rPr>
          <w:rFonts w:ascii="Times New Roman" w:eastAsia="Times New Roman" w:hAnsi="Times New Roman" w:cs="Times New Roman"/>
          <w:kern w:val="0"/>
          <w:sz w:val="24"/>
          <w:szCs w:val="24"/>
          <w:lang w:eastAsia="en-GB"/>
          <w14:ligatures w14:val="none"/>
        </w:rPr>
        <w:t>Nick Millward summarised that clear definitions and roles are needed for alternative provision (AP) and special schools, with an emphasis on sharing expertise, outreach, and avoiding siloed or duplicated efforts. Flexibility and inclusivity were highlighted as key principles.</w:t>
      </w:r>
    </w:p>
    <w:p w14:paraId="3A7739F0"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Decision-Making and Diagnostic Boundaries: </w:t>
      </w:r>
      <w:r w:rsidRPr="00B22B14">
        <w:rPr>
          <w:rFonts w:ascii="Times New Roman" w:eastAsia="Times New Roman" w:hAnsi="Times New Roman" w:cs="Times New Roman"/>
          <w:kern w:val="0"/>
          <w:sz w:val="24"/>
          <w:szCs w:val="24"/>
          <w:lang w:eastAsia="en-GB"/>
          <w14:ligatures w14:val="none"/>
        </w:rPr>
        <w:t>Rochelle Bones reported that group three discussed the need for data-driven identification of cases requiring specialist input, the importance of triage and consultation, and the challenge of schools seeking diagnoses when reassurance or strategies may suffice. Engaging parent carers and providing psychoeducation were identified as important steps.</w:t>
      </w:r>
    </w:p>
    <w:p w14:paraId="0AF68847" w14:textId="76F3B3E7" w:rsidR="00B22B14" w:rsidRPr="00B22B14" w:rsidRDefault="00B22B14" w:rsidP="00B22B14">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Workshops and Ongoing Engagement: </w:t>
      </w:r>
      <w:r w:rsidRPr="00B22B14">
        <w:rPr>
          <w:rFonts w:ascii="Times New Roman" w:eastAsia="Times New Roman" w:hAnsi="Times New Roman" w:cs="Times New Roman"/>
          <w:kern w:val="0"/>
          <w:sz w:val="24"/>
          <w:szCs w:val="24"/>
          <w:lang w:eastAsia="en-GB"/>
          <w14:ligatures w14:val="none"/>
        </w:rPr>
        <w:t xml:space="preserve">Rachel </w:t>
      </w:r>
      <w:r w:rsidR="00DF0392">
        <w:rPr>
          <w:rFonts w:ascii="Times New Roman" w:eastAsia="Times New Roman" w:hAnsi="Times New Roman" w:cs="Times New Roman"/>
          <w:kern w:val="0"/>
          <w:sz w:val="24"/>
          <w:szCs w:val="24"/>
          <w:lang w:eastAsia="en-GB"/>
          <w14:ligatures w14:val="none"/>
        </w:rPr>
        <w:t>Delourme</w:t>
      </w:r>
      <w:r w:rsidRPr="00B22B14">
        <w:rPr>
          <w:rFonts w:ascii="Times New Roman" w:eastAsia="Times New Roman" w:hAnsi="Times New Roman" w:cs="Times New Roman"/>
          <w:kern w:val="0"/>
          <w:sz w:val="24"/>
          <w:szCs w:val="24"/>
          <w:lang w:eastAsia="en-GB"/>
          <w14:ligatures w14:val="none"/>
        </w:rPr>
        <w:t xml:space="preserve"> and Rochelle Bones announced upcoming workshops and opportunities for further engagement, encouraging participants to join sessions focused on ordinarily available provision and the Experts at Hand model to continue shaping the SEND reform.</w:t>
      </w:r>
    </w:p>
    <w:p w14:paraId="2ED6C856" w14:textId="77777777" w:rsidR="00B22B14" w:rsidRPr="00B22B14" w:rsidRDefault="00B22B14" w:rsidP="00B22B14">
      <w:pPr>
        <w:numPr>
          <w:ilvl w:val="1"/>
          <w:numId w:val="1"/>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Upcoming Workshops: </w:t>
      </w:r>
      <w:r w:rsidRPr="00B22B14">
        <w:rPr>
          <w:rFonts w:ascii="Times New Roman" w:eastAsia="Times New Roman" w:hAnsi="Times New Roman" w:cs="Times New Roman"/>
          <w:kern w:val="0"/>
          <w:sz w:val="24"/>
          <w:szCs w:val="24"/>
          <w:lang w:eastAsia="en-GB"/>
          <w14:ligatures w14:val="none"/>
        </w:rPr>
        <w:t>Workshops are scheduled for 30 April (Ordinarily Available Provision) and 7 May (Experts at Hand with a health focus), with booking details provided. These sessions will further develop the reform plan and gather wider input from stakeholders.</w:t>
      </w:r>
    </w:p>
    <w:p w14:paraId="00D05C18" w14:textId="77777777" w:rsidR="00B22B14" w:rsidRPr="00B22B14" w:rsidRDefault="00B22B14" w:rsidP="00B22B14">
      <w:pPr>
        <w:spacing w:after="0"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kern w:val="0"/>
          <w:sz w:val="24"/>
          <w:szCs w:val="24"/>
          <w:lang w:eastAsia="en-GB"/>
          <w14:ligatures w14:val="none"/>
        </w:rPr>
        <w:t>Follow-up tasks:</w:t>
      </w:r>
    </w:p>
    <w:p w14:paraId="5469B7D2" w14:textId="77777777" w:rsidR="00B22B14" w:rsidRPr="00B22B14" w:rsidRDefault="00B22B14" w:rsidP="00B22B1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School Leader and SENCO Engagement: </w:t>
      </w:r>
      <w:r w:rsidRPr="00B22B14">
        <w:rPr>
          <w:rFonts w:ascii="Times New Roman" w:eastAsia="Times New Roman" w:hAnsi="Times New Roman" w:cs="Times New Roman"/>
          <w:kern w:val="0"/>
          <w:sz w:val="24"/>
          <w:szCs w:val="24"/>
          <w:lang w:eastAsia="en-GB"/>
          <w14:ligatures w14:val="none"/>
        </w:rPr>
        <w:t>Involve SENCOs and school leaders in the SEND reform planning process by sharing the questions discussed in this meeting with the various school networks to gather their input. (Jennifer, Rachel)</w:t>
      </w:r>
    </w:p>
    <w:p w14:paraId="76BDC87B" w14:textId="77777777" w:rsidR="00B22B14" w:rsidRPr="00B22B14" w:rsidRDefault="00B22B14" w:rsidP="00B22B1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Mapping and Sharing Provision Information: </w:t>
      </w:r>
      <w:r w:rsidRPr="00B22B14">
        <w:rPr>
          <w:rFonts w:ascii="Times New Roman" w:eastAsia="Times New Roman" w:hAnsi="Times New Roman" w:cs="Times New Roman"/>
          <w:kern w:val="0"/>
          <w:sz w:val="24"/>
          <w:szCs w:val="24"/>
          <w:lang w:eastAsia="en-GB"/>
          <w14:ligatures w14:val="none"/>
        </w:rPr>
        <w:t>Develop and share a clear, locality-based map of available SEND and expert at hand provision, including pathways and steps for accessing support, to ensure all schools are aware of resources beyond Cornwall Council staff. (Rachel, Kate)</w:t>
      </w:r>
    </w:p>
    <w:p w14:paraId="69C11024" w14:textId="77777777" w:rsidR="00B22B14" w:rsidRPr="00B22B14" w:rsidRDefault="00B22B14" w:rsidP="00B22B1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Pooling Funding Mechanisms: </w:t>
      </w:r>
      <w:r w:rsidRPr="00B22B14">
        <w:rPr>
          <w:rFonts w:ascii="Times New Roman" w:eastAsia="Times New Roman" w:hAnsi="Times New Roman" w:cs="Times New Roman"/>
          <w:kern w:val="0"/>
          <w:sz w:val="24"/>
          <w:szCs w:val="24"/>
          <w:lang w:eastAsia="en-GB"/>
          <w14:ligatures w14:val="none"/>
        </w:rPr>
        <w:t>Explore mechanisms for pooling element 3 funding across schools within the same neighbourhood to enable equitable access to resources, especially for smaller schools and those not in large trusts. (Rachel, Kate)</w:t>
      </w:r>
    </w:p>
    <w:p w14:paraId="2E951FDA" w14:textId="77777777" w:rsidR="00B22B14" w:rsidRPr="00B22B14" w:rsidRDefault="00B22B14" w:rsidP="00B22B1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SEND Reform Workshop Participation: </w:t>
      </w:r>
      <w:r w:rsidRPr="00B22B14">
        <w:rPr>
          <w:rFonts w:ascii="Times New Roman" w:eastAsia="Times New Roman" w:hAnsi="Times New Roman" w:cs="Times New Roman"/>
          <w:kern w:val="0"/>
          <w:sz w:val="24"/>
          <w:szCs w:val="24"/>
          <w:lang w:eastAsia="en-GB"/>
          <w14:ligatures w14:val="none"/>
        </w:rPr>
        <w:t>Encourage peers to attend upcoming SEND reform workshops and cascade information through relevant networks to ensure broad participation and awareness. (Rachel, Kate)</w:t>
      </w:r>
    </w:p>
    <w:p w14:paraId="29F3C1D1" w14:textId="77777777" w:rsidR="00B22B14" w:rsidRPr="00B22B14" w:rsidRDefault="00B22B14" w:rsidP="00B22B1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B22B14">
        <w:rPr>
          <w:rFonts w:ascii="Times New Roman" w:eastAsia="Times New Roman" w:hAnsi="Times New Roman" w:cs="Times New Roman"/>
          <w:b/>
          <w:bCs/>
          <w:kern w:val="0"/>
          <w:sz w:val="24"/>
          <w:szCs w:val="24"/>
          <w:lang w:eastAsia="en-GB"/>
          <w14:ligatures w14:val="none"/>
        </w:rPr>
        <w:t xml:space="preserve">Headteacher Voice at SEND Reform Conference: </w:t>
      </w:r>
      <w:r w:rsidRPr="00B22B14">
        <w:rPr>
          <w:rFonts w:ascii="Times New Roman" w:eastAsia="Times New Roman" w:hAnsi="Times New Roman" w:cs="Times New Roman"/>
          <w:kern w:val="0"/>
          <w:sz w:val="24"/>
          <w:szCs w:val="24"/>
          <w:lang w:eastAsia="en-GB"/>
          <w14:ligatures w14:val="none"/>
        </w:rPr>
        <w:t xml:space="preserve">Coordinate with Kate to utilise the </w:t>
      </w:r>
      <w:proofErr w:type="gramStart"/>
      <w:r w:rsidRPr="00B22B14">
        <w:rPr>
          <w:rFonts w:ascii="Times New Roman" w:eastAsia="Times New Roman" w:hAnsi="Times New Roman" w:cs="Times New Roman"/>
          <w:kern w:val="0"/>
          <w:sz w:val="24"/>
          <w:szCs w:val="24"/>
          <w:lang w:eastAsia="en-GB"/>
          <w14:ligatures w14:val="none"/>
        </w:rPr>
        <w:t>3rd</w:t>
      </w:r>
      <w:proofErr w:type="gramEnd"/>
      <w:r w:rsidRPr="00B22B14">
        <w:rPr>
          <w:rFonts w:ascii="Times New Roman" w:eastAsia="Times New Roman" w:hAnsi="Times New Roman" w:cs="Times New Roman"/>
          <w:kern w:val="0"/>
          <w:sz w:val="24"/>
          <w:szCs w:val="24"/>
          <w:lang w:eastAsia="en-GB"/>
          <w14:ligatures w14:val="none"/>
        </w:rPr>
        <w:t xml:space="preserve"> July conference as an opportunity to capture headteacher voices for ongoing SEND reform work, despite the plan submission deadline being earlier. (Rachel, Kate)</w:t>
      </w:r>
    </w:p>
    <w:p w14:paraId="4C7A9085" w14:textId="77777777" w:rsidR="00AE7685" w:rsidRDefault="00AE7685"/>
    <w:sectPr w:rsidR="00AE7685">
      <w:headerReference w:type="even" r:id="rId10"/>
      <w:headerReference w:type="default" r:id="rId11"/>
      <w:head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B72C4" w14:textId="77777777" w:rsidR="00412ED2" w:rsidRDefault="00412ED2" w:rsidP="00B22B14">
      <w:pPr>
        <w:spacing w:after="0" w:line="240" w:lineRule="auto"/>
      </w:pPr>
      <w:r>
        <w:separator/>
      </w:r>
    </w:p>
  </w:endnote>
  <w:endnote w:type="continuationSeparator" w:id="0">
    <w:p w14:paraId="2F863FBE" w14:textId="77777777" w:rsidR="00412ED2" w:rsidRDefault="00412ED2" w:rsidP="00B22B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AAD90" w14:textId="77777777" w:rsidR="00412ED2" w:rsidRDefault="00412ED2" w:rsidP="00B22B14">
      <w:pPr>
        <w:spacing w:after="0" w:line="240" w:lineRule="auto"/>
      </w:pPr>
      <w:r>
        <w:separator/>
      </w:r>
    </w:p>
  </w:footnote>
  <w:footnote w:type="continuationSeparator" w:id="0">
    <w:p w14:paraId="569700ED" w14:textId="77777777" w:rsidR="00412ED2" w:rsidRDefault="00412ED2" w:rsidP="00B22B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4665" w14:textId="2AE83559" w:rsidR="00B22B14" w:rsidRDefault="00B22B14">
    <w:pPr>
      <w:pStyle w:val="Header"/>
    </w:pPr>
    <w:r>
      <w:rPr>
        <w:noProof/>
      </w:rPr>
      <mc:AlternateContent>
        <mc:Choice Requires="wps">
          <w:drawing>
            <wp:anchor distT="0" distB="0" distL="0" distR="0" simplePos="0" relativeHeight="251659264" behindDoc="0" locked="0" layoutInCell="1" allowOverlap="1" wp14:anchorId="2953694E" wp14:editId="116EB865">
              <wp:simplePos x="635" y="635"/>
              <wp:positionH relativeFrom="page">
                <wp:align>right</wp:align>
              </wp:positionH>
              <wp:positionV relativeFrom="page">
                <wp:align>top</wp:align>
              </wp:positionV>
              <wp:extent cx="2517140" cy="357505"/>
              <wp:effectExtent l="0" t="0" r="0" b="4445"/>
              <wp:wrapNone/>
              <wp:docPr id="524164602" name="Text Box 2"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17140" cy="357505"/>
                      </a:xfrm>
                      <a:prstGeom prst="rect">
                        <a:avLst/>
                      </a:prstGeom>
                      <a:noFill/>
                      <a:ln>
                        <a:noFill/>
                      </a:ln>
                    </wps:spPr>
                    <wps:txbx>
                      <w:txbxContent>
                        <w:p w14:paraId="522FEC2B" w14:textId="138411F4" w:rsidR="00B22B14" w:rsidRPr="00B22B14" w:rsidRDefault="00B22B14" w:rsidP="00B22B14">
                          <w:pPr>
                            <w:spacing w:after="0"/>
                            <w:rPr>
                              <w:rFonts w:ascii="Aptos" w:eastAsia="Aptos" w:hAnsi="Aptos" w:cs="Aptos"/>
                              <w:noProof/>
                              <w:color w:val="FF8C00"/>
                              <w:sz w:val="20"/>
                              <w:szCs w:val="20"/>
                            </w:rPr>
                          </w:pPr>
                          <w:r w:rsidRPr="00B22B14">
                            <w:rPr>
                              <w:rFonts w:ascii="Aptos" w:eastAsia="Aptos" w:hAnsi="Aptos" w:cs="Aptos"/>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953694E" id="_x0000_t202" coordsize="21600,21600" o:spt="202" path="m,l,21600r21600,l21600,xe">
              <v:stroke joinstyle="miter"/>
              <v:path gradientshapeok="t" o:connecttype="rect"/>
            </v:shapetype>
            <v:shape id="Text Box 2" o:spid="_x0000_s1026" type="#_x0000_t202" alt="Information Classification: CONTROLLED" style="position:absolute;margin-left:147pt;margin-top:0;width:198.2pt;height:28.1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" filled="f" stroked="f">
              <v:textbox style="mso-fit-shape-to-text:t" inset="0,15pt,20pt,0">
                <w:txbxContent>
                  <w:p w14:paraId="522FEC2B" w14:textId="138411F4" w:rsidR="00B22B14" w:rsidRPr="00B22B14" w:rsidRDefault="00B22B14" w:rsidP="00B22B14">
                    <w:pPr>
                      <w:spacing w:after="0"/>
                      <w:rPr>
                        <w:rFonts w:ascii="Aptos" w:eastAsia="Aptos" w:hAnsi="Aptos" w:cs="Aptos"/>
                        <w:noProof/>
                        <w:color w:val="FF8C00"/>
                        <w:sz w:val="20"/>
                        <w:szCs w:val="20"/>
                      </w:rPr>
                    </w:pPr>
                    <w:r w:rsidRPr="00B22B14">
                      <w:rPr>
                        <w:rFonts w:ascii="Aptos" w:eastAsia="Aptos" w:hAnsi="Aptos" w:cs="Aptos"/>
                        <w:noProof/>
                        <w:color w:val="FF8C00"/>
                        <w:sz w:val="20"/>
                        <w:szCs w:val="20"/>
                      </w:rPr>
                      <w:t>Information Classification: CONTROLLED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27713" w14:textId="4F32B155" w:rsidR="00B22B14" w:rsidRDefault="00B22B14">
    <w:pPr>
      <w:pStyle w:val="Header"/>
    </w:pPr>
    <w:r>
      <w:rPr>
        <w:noProof/>
      </w:rPr>
      <mc:AlternateContent>
        <mc:Choice Requires="wps">
          <w:drawing>
            <wp:anchor distT="0" distB="0" distL="0" distR="0" simplePos="0" relativeHeight="251660288" behindDoc="0" locked="0" layoutInCell="1" allowOverlap="1" wp14:anchorId="66C9DBD9" wp14:editId="51C9D7A9">
              <wp:simplePos x="914400" y="452438"/>
              <wp:positionH relativeFrom="page">
                <wp:align>right</wp:align>
              </wp:positionH>
              <wp:positionV relativeFrom="page">
                <wp:align>top</wp:align>
              </wp:positionV>
              <wp:extent cx="2517140" cy="357505"/>
              <wp:effectExtent l="0" t="0" r="0" b="4445"/>
              <wp:wrapNone/>
              <wp:docPr id="1766716291" name="Text Box 3"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17140" cy="357505"/>
                      </a:xfrm>
                      <a:prstGeom prst="rect">
                        <a:avLst/>
                      </a:prstGeom>
                      <a:noFill/>
                      <a:ln>
                        <a:noFill/>
                      </a:ln>
                    </wps:spPr>
                    <wps:txbx>
                      <w:txbxContent>
                        <w:p w14:paraId="086188E8" w14:textId="20CDEA2D" w:rsidR="00B22B14" w:rsidRPr="00B22B14" w:rsidRDefault="00B22B14" w:rsidP="00B22B14">
                          <w:pPr>
                            <w:spacing w:after="0"/>
                            <w:rPr>
                              <w:rFonts w:ascii="Aptos" w:eastAsia="Aptos" w:hAnsi="Aptos" w:cs="Aptos"/>
                              <w:noProof/>
                              <w:color w:val="FF8C00"/>
                              <w:sz w:val="20"/>
                              <w:szCs w:val="20"/>
                            </w:rPr>
                          </w:pPr>
                          <w:r w:rsidRPr="00B22B14">
                            <w:rPr>
                              <w:rFonts w:ascii="Aptos" w:eastAsia="Aptos" w:hAnsi="Aptos" w:cs="Aptos"/>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6C9DBD9" id="_x0000_t202" coordsize="21600,21600" o:spt="202" path="m,l,21600r21600,l21600,xe">
              <v:stroke joinstyle="miter"/>
              <v:path gradientshapeok="t" o:connecttype="rect"/>
            </v:shapetype>
            <v:shape id="Text Box 3" o:spid="_x0000_s1027" type="#_x0000_t202" alt="Information Classification: CONTROLLED" style="position:absolute;margin-left:147pt;margin-top:0;width:198.2pt;height:28.1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" filled="f" stroked="f">
              <v:textbox style="mso-fit-shape-to-text:t" inset="0,15pt,20pt,0">
                <w:txbxContent>
                  <w:p w14:paraId="086188E8" w14:textId="20CDEA2D" w:rsidR="00B22B14" w:rsidRPr="00B22B14" w:rsidRDefault="00B22B14" w:rsidP="00B22B14">
                    <w:pPr>
                      <w:spacing w:after="0"/>
                      <w:rPr>
                        <w:rFonts w:ascii="Aptos" w:eastAsia="Aptos" w:hAnsi="Aptos" w:cs="Aptos"/>
                        <w:noProof/>
                        <w:color w:val="FF8C00"/>
                        <w:sz w:val="20"/>
                        <w:szCs w:val="20"/>
                      </w:rPr>
                    </w:pPr>
                    <w:r w:rsidRPr="00B22B14">
                      <w:rPr>
                        <w:rFonts w:ascii="Aptos" w:eastAsia="Aptos" w:hAnsi="Aptos" w:cs="Aptos"/>
                        <w:noProof/>
                        <w:color w:val="FF8C00"/>
                        <w:sz w:val="20"/>
                        <w:szCs w:val="20"/>
                      </w:rPr>
                      <w:t>Information Classification: CONTROLLED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3025" w14:textId="5D158AF0" w:rsidR="00B22B14" w:rsidRDefault="00B22B14">
    <w:pPr>
      <w:pStyle w:val="Header"/>
    </w:pPr>
    <w:r>
      <w:rPr>
        <w:noProof/>
      </w:rPr>
      <mc:AlternateContent>
        <mc:Choice Requires="wps">
          <w:drawing>
            <wp:anchor distT="0" distB="0" distL="0" distR="0" simplePos="0" relativeHeight="251658240" behindDoc="0" locked="0" layoutInCell="1" allowOverlap="1" wp14:anchorId="1E800F94" wp14:editId="7E01EC6A">
              <wp:simplePos x="635" y="635"/>
              <wp:positionH relativeFrom="page">
                <wp:align>right</wp:align>
              </wp:positionH>
              <wp:positionV relativeFrom="page">
                <wp:align>top</wp:align>
              </wp:positionV>
              <wp:extent cx="2517140" cy="357505"/>
              <wp:effectExtent l="0" t="0" r="0" b="4445"/>
              <wp:wrapNone/>
              <wp:docPr id="1108182501" name="Text Box 1" descr="Information Classification: CONTROLL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517140" cy="357505"/>
                      </a:xfrm>
                      <a:prstGeom prst="rect">
                        <a:avLst/>
                      </a:prstGeom>
                      <a:noFill/>
                      <a:ln>
                        <a:noFill/>
                      </a:ln>
                    </wps:spPr>
                    <wps:txbx>
                      <w:txbxContent>
                        <w:p w14:paraId="6FE2CFFD" w14:textId="6B520FFF" w:rsidR="00B22B14" w:rsidRPr="00B22B14" w:rsidRDefault="00B22B14" w:rsidP="00B22B14">
                          <w:pPr>
                            <w:spacing w:after="0"/>
                            <w:rPr>
                              <w:rFonts w:ascii="Aptos" w:eastAsia="Aptos" w:hAnsi="Aptos" w:cs="Aptos"/>
                              <w:noProof/>
                              <w:color w:val="FF8C00"/>
                              <w:sz w:val="20"/>
                              <w:szCs w:val="20"/>
                            </w:rPr>
                          </w:pPr>
                          <w:r w:rsidRPr="00B22B14">
                            <w:rPr>
                              <w:rFonts w:ascii="Aptos" w:eastAsia="Aptos" w:hAnsi="Aptos" w:cs="Aptos"/>
                              <w:noProof/>
                              <w:color w:val="FF8C00"/>
                              <w:sz w:val="20"/>
                              <w:szCs w:val="20"/>
                            </w:rPr>
                            <w:t>Information Classification: CONTROLLED</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1E800F94" id="_x0000_t202" coordsize="21600,21600" o:spt="202" path="m,l,21600r21600,l21600,xe">
              <v:stroke joinstyle="miter"/>
              <v:path gradientshapeok="t" o:connecttype="rect"/>
            </v:shapetype>
            <v:shape id="Text Box 1" o:spid="_x0000_s1028" type="#_x0000_t202" alt="Information Classification: CONTROLLED" style="position:absolute;margin-left:147pt;margin-top:0;width:198.2pt;height:28.1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" filled="f" stroked="f">
              <v:textbox style="mso-fit-shape-to-text:t" inset="0,15pt,20pt,0">
                <w:txbxContent>
                  <w:p w14:paraId="6FE2CFFD" w14:textId="6B520FFF" w:rsidR="00B22B14" w:rsidRPr="00B22B14" w:rsidRDefault="00B22B14" w:rsidP="00B22B14">
                    <w:pPr>
                      <w:spacing w:after="0"/>
                      <w:rPr>
                        <w:rFonts w:ascii="Aptos" w:eastAsia="Aptos" w:hAnsi="Aptos" w:cs="Aptos"/>
                        <w:noProof/>
                        <w:color w:val="FF8C00"/>
                        <w:sz w:val="20"/>
                        <w:szCs w:val="20"/>
                      </w:rPr>
                    </w:pPr>
                    <w:r w:rsidRPr="00B22B14">
                      <w:rPr>
                        <w:rFonts w:ascii="Aptos" w:eastAsia="Aptos" w:hAnsi="Aptos" w:cs="Aptos"/>
                        <w:noProof/>
                        <w:color w:val="FF8C00"/>
                        <w:sz w:val="20"/>
                        <w:szCs w:val="20"/>
                      </w:rPr>
                      <w:t>Information Classification: CONTROLLED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26C2B"/>
    <w:multiLevelType w:val="multilevel"/>
    <w:tmpl w:val="1866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55073A"/>
    <w:multiLevelType w:val="multilevel"/>
    <w:tmpl w:val="FA60F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FF75F1"/>
    <w:multiLevelType w:val="multilevel"/>
    <w:tmpl w:val="E9CA7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01316D"/>
    <w:multiLevelType w:val="multilevel"/>
    <w:tmpl w:val="E25EC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9F6C4A"/>
    <w:multiLevelType w:val="multilevel"/>
    <w:tmpl w:val="4A120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C96384"/>
    <w:multiLevelType w:val="multilevel"/>
    <w:tmpl w:val="36F25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0C1AE1"/>
    <w:multiLevelType w:val="multilevel"/>
    <w:tmpl w:val="DBF27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43958"/>
    <w:multiLevelType w:val="multilevel"/>
    <w:tmpl w:val="4DD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A2F52BA"/>
    <w:multiLevelType w:val="multilevel"/>
    <w:tmpl w:val="EF426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4C4FD2"/>
    <w:multiLevelType w:val="multilevel"/>
    <w:tmpl w:val="C1E02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4D66DA5"/>
    <w:multiLevelType w:val="multilevel"/>
    <w:tmpl w:val="3FB21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650B1B"/>
    <w:multiLevelType w:val="multilevel"/>
    <w:tmpl w:val="7EE0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1610C70"/>
    <w:multiLevelType w:val="multilevel"/>
    <w:tmpl w:val="A4B05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EB4562"/>
    <w:multiLevelType w:val="multilevel"/>
    <w:tmpl w:val="2C54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685488A"/>
    <w:multiLevelType w:val="multilevel"/>
    <w:tmpl w:val="1B8289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2B007C"/>
    <w:multiLevelType w:val="multilevel"/>
    <w:tmpl w:val="9FBED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38E70F7"/>
    <w:multiLevelType w:val="multilevel"/>
    <w:tmpl w:val="E8800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653884"/>
    <w:multiLevelType w:val="multilevel"/>
    <w:tmpl w:val="DC1CB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26200147">
    <w:abstractNumId w:val="14"/>
  </w:num>
  <w:num w:numId="2" w16cid:durableId="1016157129">
    <w:abstractNumId w:val="16"/>
  </w:num>
  <w:num w:numId="3" w16cid:durableId="1646397844">
    <w:abstractNumId w:val="12"/>
  </w:num>
  <w:num w:numId="4" w16cid:durableId="1891112851">
    <w:abstractNumId w:val="7"/>
  </w:num>
  <w:num w:numId="5" w16cid:durableId="1060521993">
    <w:abstractNumId w:val="0"/>
  </w:num>
  <w:num w:numId="6" w16cid:durableId="1893728961">
    <w:abstractNumId w:val="10"/>
  </w:num>
  <w:num w:numId="7" w16cid:durableId="1719696969">
    <w:abstractNumId w:val="15"/>
  </w:num>
  <w:num w:numId="8" w16cid:durableId="371922062">
    <w:abstractNumId w:val="1"/>
  </w:num>
  <w:num w:numId="9" w16cid:durableId="1784423096">
    <w:abstractNumId w:val="9"/>
  </w:num>
  <w:num w:numId="10" w16cid:durableId="2008436268">
    <w:abstractNumId w:val="6"/>
  </w:num>
  <w:num w:numId="11" w16cid:durableId="588080730">
    <w:abstractNumId w:val="5"/>
  </w:num>
  <w:num w:numId="12" w16cid:durableId="618148702">
    <w:abstractNumId w:val="11"/>
  </w:num>
  <w:num w:numId="13" w16cid:durableId="1522863535">
    <w:abstractNumId w:val="13"/>
  </w:num>
  <w:num w:numId="14" w16cid:durableId="635837546">
    <w:abstractNumId w:val="3"/>
  </w:num>
  <w:num w:numId="15" w16cid:durableId="159470824">
    <w:abstractNumId w:val="8"/>
  </w:num>
  <w:num w:numId="16" w16cid:durableId="232854235">
    <w:abstractNumId w:val="2"/>
  </w:num>
  <w:num w:numId="17" w16cid:durableId="1710950720">
    <w:abstractNumId w:val="4"/>
  </w:num>
  <w:num w:numId="18" w16cid:durableId="851580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B14"/>
    <w:rsid w:val="0025627C"/>
    <w:rsid w:val="002B723C"/>
    <w:rsid w:val="003C3729"/>
    <w:rsid w:val="00412ED2"/>
    <w:rsid w:val="004E2295"/>
    <w:rsid w:val="00553AAE"/>
    <w:rsid w:val="00621A31"/>
    <w:rsid w:val="00824EE6"/>
    <w:rsid w:val="00AE7685"/>
    <w:rsid w:val="00B22B14"/>
    <w:rsid w:val="00DF03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8304A"/>
  <w15:chartTrackingRefBased/>
  <w15:docId w15:val="{5F590B54-DF75-494B-8C4A-FB047863D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2B1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2B1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2B1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2B1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2B1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2B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2B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2B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2B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2B1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2B1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2B1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2B1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2B1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2B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2B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2B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2B14"/>
    <w:rPr>
      <w:rFonts w:eastAsiaTheme="majorEastAsia" w:cstheme="majorBidi"/>
      <w:color w:val="272727" w:themeColor="text1" w:themeTint="D8"/>
    </w:rPr>
  </w:style>
  <w:style w:type="paragraph" w:styleId="Title">
    <w:name w:val="Title"/>
    <w:basedOn w:val="Normal"/>
    <w:next w:val="Normal"/>
    <w:link w:val="TitleChar"/>
    <w:uiPriority w:val="10"/>
    <w:qFormat/>
    <w:rsid w:val="00B22B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2B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2B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2B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2B14"/>
    <w:pPr>
      <w:spacing w:before="160"/>
      <w:jc w:val="center"/>
    </w:pPr>
    <w:rPr>
      <w:i/>
      <w:iCs/>
      <w:color w:val="404040" w:themeColor="text1" w:themeTint="BF"/>
    </w:rPr>
  </w:style>
  <w:style w:type="character" w:customStyle="1" w:styleId="QuoteChar">
    <w:name w:val="Quote Char"/>
    <w:basedOn w:val="DefaultParagraphFont"/>
    <w:link w:val="Quote"/>
    <w:uiPriority w:val="29"/>
    <w:rsid w:val="00B22B14"/>
    <w:rPr>
      <w:i/>
      <w:iCs/>
      <w:color w:val="404040" w:themeColor="text1" w:themeTint="BF"/>
    </w:rPr>
  </w:style>
  <w:style w:type="paragraph" w:styleId="ListParagraph">
    <w:name w:val="List Paragraph"/>
    <w:basedOn w:val="Normal"/>
    <w:uiPriority w:val="34"/>
    <w:qFormat/>
    <w:rsid w:val="00B22B14"/>
    <w:pPr>
      <w:ind w:left="720"/>
      <w:contextualSpacing/>
    </w:pPr>
  </w:style>
  <w:style w:type="character" w:styleId="IntenseEmphasis">
    <w:name w:val="Intense Emphasis"/>
    <w:basedOn w:val="DefaultParagraphFont"/>
    <w:uiPriority w:val="21"/>
    <w:qFormat/>
    <w:rsid w:val="00B22B14"/>
    <w:rPr>
      <w:i/>
      <w:iCs/>
      <w:color w:val="2F5496" w:themeColor="accent1" w:themeShade="BF"/>
    </w:rPr>
  </w:style>
  <w:style w:type="paragraph" w:styleId="IntenseQuote">
    <w:name w:val="Intense Quote"/>
    <w:basedOn w:val="Normal"/>
    <w:next w:val="Normal"/>
    <w:link w:val="IntenseQuoteChar"/>
    <w:uiPriority w:val="30"/>
    <w:qFormat/>
    <w:rsid w:val="00B22B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2B14"/>
    <w:rPr>
      <w:i/>
      <w:iCs/>
      <w:color w:val="2F5496" w:themeColor="accent1" w:themeShade="BF"/>
    </w:rPr>
  </w:style>
  <w:style w:type="character" w:styleId="IntenseReference">
    <w:name w:val="Intense Reference"/>
    <w:basedOn w:val="DefaultParagraphFont"/>
    <w:uiPriority w:val="32"/>
    <w:qFormat/>
    <w:rsid w:val="00B22B14"/>
    <w:rPr>
      <w:b/>
      <w:bCs/>
      <w:smallCaps/>
      <w:color w:val="2F5496" w:themeColor="accent1" w:themeShade="BF"/>
      <w:spacing w:val="5"/>
    </w:rPr>
  </w:style>
  <w:style w:type="paragraph" w:styleId="Header">
    <w:name w:val="header"/>
    <w:basedOn w:val="Normal"/>
    <w:link w:val="HeaderChar"/>
    <w:uiPriority w:val="99"/>
    <w:unhideWhenUsed/>
    <w:rsid w:val="00B22B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2B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49d878d-29b8-4b40-844f-64acebb83c95">
      <Value>65</Value>
      <Value>77</Value>
    </TaxCatchAll>
    <f6dd6c54c4ea48f7b0ab5bdc5da524c9 xmlns="5849e390-3ec1-402e-9240-a3e34b85f545">
      <Terms xmlns="http://schemas.microsoft.com/office/infopath/2007/PartnerControls">
        <TermInfo xmlns="http://schemas.microsoft.com/office/infopath/2007/PartnerControls">
          <TermName xmlns="http://schemas.microsoft.com/office/infopath/2007/PartnerControls">ELG Confidential</TermName>
          <TermId xmlns="http://schemas.microsoft.com/office/infopath/2007/PartnerControls">d2d82dfb-ddc9-4ece-b0e1-3214173480e1</TermId>
        </TermInfo>
      </Terms>
    </f6dd6c54c4ea48f7b0ab5bdc5da524c9>
    <h13ce263e7de44f8b22faf142f91590e xmlns="5849e390-3ec1-402e-9240-a3e34b85f545">
      <Terms xmlns="http://schemas.microsoft.com/office/infopath/2007/PartnerControls">
        <TermInfo xmlns="http://schemas.microsoft.com/office/infopath/2007/PartnerControls">
          <TermName xmlns="http://schemas.microsoft.com/office/infopath/2007/PartnerControls">ELG Support</TermName>
          <TermId xmlns="http://schemas.microsoft.com/office/infopath/2007/PartnerControls">ba187898-3d54-4d14-bac0-490c2d5af27a</TermId>
        </TermInfo>
      </Terms>
    </h13ce263e7de44f8b22faf142f91590e>
    <ibcc2dd3f7fa43639dc0e22f7300983e xmlns="5849e390-3ec1-402e-9240-a3e34b85f545">
      <Terms xmlns="http://schemas.microsoft.com/office/infopath/2007/PartnerControls"/>
    </ibcc2dd3f7fa43639dc0e22f7300983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C Document" ma:contentTypeID="0x010100E301ABA043B4B240A1DC3A308F1F012000F77817856256E046B76DD6F1E62F461B" ma:contentTypeVersion="13" ma:contentTypeDescription="Create a new document." ma:contentTypeScope="" ma:versionID="482e4a94f4be1cf4944a6fe8c86af7b7">
  <xsd:schema xmlns:xsd="http://www.w3.org/2001/XMLSchema" xmlns:xs="http://www.w3.org/2001/XMLSchema" xmlns:p="http://schemas.microsoft.com/office/2006/metadata/properties" xmlns:ns2="5849e390-3ec1-402e-9240-a3e34b85f545" xmlns:ns3="249d878d-29b8-4b40-844f-64acebb83c95" targetNamespace="http://schemas.microsoft.com/office/2006/metadata/properties" ma:root="true" ma:fieldsID="de0053f588244dddef77594b580e1d78" ns2:_="" ns3:_="">
    <xsd:import namespace="5849e390-3ec1-402e-9240-a3e34b85f545"/>
    <xsd:import namespace="249d878d-29b8-4b40-844f-64acebb83c95"/>
    <xsd:element name="properties">
      <xsd:complexType>
        <xsd:sequence>
          <xsd:element name="documentManagement">
            <xsd:complexType>
              <xsd:all>
                <xsd:element ref="ns2:h13ce263e7de44f8b22faf142f91590e" minOccurs="0"/>
                <xsd:element ref="ns3:TaxCatchAll" minOccurs="0"/>
                <xsd:element ref="ns3:TaxCatchAllLabel" minOccurs="0"/>
                <xsd:element ref="ns2:f6dd6c54c4ea48f7b0ab5bdc5da524c9" minOccurs="0"/>
                <xsd:element ref="ns2:ibcc2dd3f7fa43639dc0e22f7300983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49e390-3ec1-402e-9240-a3e34b85f545" elementFormDefault="qualified">
    <xsd:import namespace="http://schemas.microsoft.com/office/2006/documentManagement/types"/>
    <xsd:import namespace="http://schemas.microsoft.com/office/infopath/2007/PartnerControls"/>
    <xsd:element name="h13ce263e7de44f8b22faf142f91590e" ma:index="8" nillable="true" ma:taxonomy="true" ma:internalName="h13ce263e7de44f8b22faf142f91590e" ma:taxonomyFieldName="Function" ma:displayName="Function" ma:readOnly="false" ma:default="" ma:fieldId="{113ce263-e7de-44f8-b22f-af142f91590e}" ma:sspId="70d6af5e-d018-4566-81cb-bde2c61e1864" ma:termSetId="37e3c5b8-748f-48ce-987b-ce64a3ccd682" ma:anchorId="00000000-0000-0000-0000-000000000000" ma:open="false" ma:isKeyword="false">
      <xsd:complexType>
        <xsd:sequence>
          <xsd:element ref="pc:Terms" minOccurs="0" maxOccurs="1"/>
        </xsd:sequence>
      </xsd:complexType>
    </xsd:element>
    <xsd:element name="f6dd6c54c4ea48f7b0ab5bdc5da524c9" ma:index="12" nillable="true" ma:taxonomy="true" ma:internalName="f6dd6c54c4ea48f7b0ab5bdc5da524c9" ma:taxonomyFieldName="Activity" ma:displayName="Activity" ma:default="" ma:fieldId="{f6dd6c54-c4ea-48f7-b0ab-5bdc5da524c9}" ma:sspId="70d6af5e-d018-4566-81cb-bde2c61e1864" ma:termSetId="6ad65f11-58a9-4890-a0d3-7c9c54c0c59c" ma:anchorId="00000000-0000-0000-0000-000000000000" ma:open="false" ma:isKeyword="false">
      <xsd:complexType>
        <xsd:sequence>
          <xsd:element ref="pc:Terms" minOccurs="0" maxOccurs="1"/>
        </xsd:sequence>
      </xsd:complexType>
    </xsd:element>
    <xsd:element name="ibcc2dd3f7fa43639dc0e22f7300983e" ma:index="14" nillable="true" ma:taxonomy="true" ma:internalName="ibcc2dd3f7fa43639dc0e22f7300983e" ma:taxonomyFieldName="Transaction" ma:displayName="Transaction" ma:default="" ma:fieldId="{2bcc2dd3-f7fa-4363-9dc0-e22f7300983e}" ma:taxonomyMulti="true" ma:sspId="70d6af5e-d018-4566-81cb-bde2c61e1864" ma:termSetId="ccae6d33-676c-462a-831e-38be65c56c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49d878d-29b8-4b40-844f-64acebb83c95"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e58a452a-51bc-4b67-b6ca-afbadd8cb1c1}" ma:internalName="TaxCatchAll" ma:showField="CatchAllData" ma:web="249d878d-29b8-4b40-844f-64acebb83c95">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58a452a-51bc-4b67-b6ca-afbadd8cb1c1}" ma:internalName="TaxCatchAllLabel" ma:readOnly="true" ma:showField="CatchAllDataLabel" ma:web="249d878d-29b8-4b40-844f-64acebb83c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10C935-A32A-4C72-B97E-E75776D6BE1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588FB3-C2D1-444C-AB43-14717E7059FA}">
  <ds:schemaRefs>
    <ds:schemaRef ds:uri="http://schemas.microsoft.com/sharepoint/v3/contenttype/forms"/>
  </ds:schemaRefs>
</ds:datastoreItem>
</file>

<file path=customXml/itemProps3.xml><?xml version="1.0" encoding="utf-8"?>
<ds:datastoreItem xmlns:ds="http://schemas.openxmlformats.org/officeDocument/2006/customXml" ds:itemID="{81C194C1-D664-4D4E-9CC5-0B54A50CB786}"/>
</file>

<file path=docProps/app.xml><?xml version="1.0" encoding="utf-8"?>
<Properties xmlns="http://schemas.openxmlformats.org/officeDocument/2006/extended-properties" xmlns:vt="http://schemas.openxmlformats.org/officeDocument/2006/docPropsVTypes">
  <Template>Normal</Template>
  <TotalTime>632</TotalTime>
  <Pages>7</Pages>
  <Words>2049</Words>
  <Characters>12256</Characters>
  <Application>Microsoft Office Word</Application>
  <DocSecurity>0</DocSecurity>
  <Lines>218</Lines>
  <Paragraphs>56</Paragraphs>
  <ScaleCrop>false</ScaleCrop>
  <Company>Cornwall Council</Company>
  <LinksUpToDate>false</LinksUpToDate>
  <CharactersWithSpaces>14249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Delourme</dc:creator>
  <cp:keywords/>
  <dc:description/>
  <cp:lastModifiedBy>Rachel Delourme</cp:lastModifiedBy>
  <cp:revision>5</cp:revision>
  <dcterms:created xsi:type="dcterms:W3CDTF">2026-04-21T07:09:00Z</dcterms:created>
  <dcterms:modified xsi:type="dcterms:W3CDTF">2026-04-21T17:55:00Z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420d85e5,1f3e1dfa,694df383</vt:lpwstr>
  </property>
  <property fmtid="{D5CDD505-2E9C-101B-9397-08002B2CF9AE}" pid="3" name="ClassificationContentMarkingHeaderFontProps">
    <vt:lpwstr>#ff8c00,10,Aptos</vt:lpwstr>
  </property>
  <property fmtid="{D5CDD505-2E9C-101B-9397-08002B2CF9AE}" pid="4" name="ClassificationContentMarkingHeaderText">
    <vt:lpwstr>Information Classification: CONTROLLED</vt:lpwstr>
  </property>
  <property fmtid="{D5CDD505-2E9C-101B-9397-08002B2CF9AE}" pid="5" name="MSIP_Label_65bade86-969a-4cfc-8d70-99d1f0adeaba_Enabled">
    <vt:lpwstr>true</vt:lpwstr>
  </property>
  <property fmtid="{D5CDD505-2E9C-101B-9397-08002B2CF9AE}" pid="6" name="MSIP_Label_65bade86-969a-4cfc-8d70-99d1f0adeaba_SetDate">
    <vt:lpwstr>2026-04-21T17:35:44Z</vt:lpwstr>
  </property>
  <property fmtid="{D5CDD505-2E9C-101B-9397-08002B2CF9AE}" pid="7" name="MSIP_Label_65bade86-969a-4cfc-8d70-99d1f0adeaba_Method">
    <vt:lpwstr>Privileged</vt:lpwstr>
  </property>
  <property fmtid="{D5CDD505-2E9C-101B-9397-08002B2CF9AE}" pid="8" name="MSIP_Label_65bade86-969a-4cfc-8d70-99d1f0adeaba_Name">
    <vt:lpwstr>65bade86-969a-4cfc-8d70-99d1f0adeaba</vt:lpwstr>
  </property>
  <property fmtid="{D5CDD505-2E9C-101B-9397-08002B2CF9AE}" pid="9" name="MSIP_Label_65bade86-969a-4cfc-8d70-99d1f0adeaba_SiteId">
    <vt:lpwstr>efaa16aa-d1de-4d58-ba2e-2833fdfdd29f</vt:lpwstr>
  </property>
  <property fmtid="{D5CDD505-2E9C-101B-9397-08002B2CF9AE}" pid="10" name="MSIP_Label_65bade86-969a-4cfc-8d70-99d1f0adeaba_ActionId">
    <vt:lpwstr>920b3314-a7fa-46d6-ae69-399d574a70bb</vt:lpwstr>
  </property>
  <property fmtid="{D5CDD505-2E9C-101B-9397-08002B2CF9AE}" pid="11" name="MSIP_Label_65bade86-969a-4cfc-8d70-99d1f0adeaba_ContentBits">
    <vt:lpwstr>1</vt:lpwstr>
  </property>
  <property fmtid="{D5CDD505-2E9C-101B-9397-08002B2CF9AE}" pid="12" name="MSIP_Label_65bade86-969a-4cfc-8d70-99d1f0adeaba_Tag">
    <vt:lpwstr>10, 0, 1, 1</vt:lpwstr>
  </property>
  <property fmtid="{D5CDD505-2E9C-101B-9397-08002B2CF9AE}" pid="13" name="ContentTypeId">
    <vt:lpwstr>0x010100E301ABA043B4B240A1DC3A308F1F012000F77817856256E046B76DD6F1E62F461B</vt:lpwstr>
  </property>
  <property fmtid="{D5CDD505-2E9C-101B-9397-08002B2CF9AE}" pid="15" name="docLang">
    <vt:lpwstr>en</vt:lpwstr>
  </property>
  <property fmtid="{D5CDD505-2E9C-101B-9397-08002B2CF9AE}" pid="16" name="Activity">
    <vt:lpwstr>77;#ELG Confidential|d2d82dfb-ddc9-4ece-b0e1-3214173480e1</vt:lpwstr>
  </property>
  <property fmtid="{D5CDD505-2E9C-101B-9397-08002B2CF9AE}" pid="17" name="MediaServiceImageTags">
    <vt:lpwstr/>
  </property>
  <property fmtid="{D5CDD505-2E9C-101B-9397-08002B2CF9AE}" pid="18" name="Function">
    <vt:lpwstr>65;#ELG Support|ba187898-3d54-4d14-bac0-490c2d5af27a</vt:lpwstr>
  </property>
  <property fmtid="{D5CDD505-2E9C-101B-9397-08002B2CF9AE}" pid="19" name="Transaction">
    <vt:lpwstr/>
  </property>
  <property fmtid="{D5CDD505-2E9C-101B-9397-08002B2CF9AE}" pid="20" name="lcf76f155ced4ddcb4097134ff3c332f">
    <vt:lpwstr/>
  </property>
</Properties>
</file>